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0206" w14:textId="77777777" w:rsidR="00193780" w:rsidRPr="005D4115" w:rsidRDefault="00193780" w:rsidP="00876E47">
      <w:pPr>
        <w:spacing w:after="0" w:line="240" w:lineRule="auto"/>
        <w:rPr>
          <w:rFonts w:cstheme="minorHAnsi"/>
          <w:b/>
          <w:bCs/>
          <w:color w:val="2E74B5" w:themeColor="accent1" w:themeShade="BF"/>
        </w:rPr>
      </w:pPr>
    </w:p>
    <w:p w14:paraId="18DAA96D" w14:textId="19C94448" w:rsidR="00193780" w:rsidRDefault="00193780" w:rsidP="00876E47">
      <w:pPr>
        <w:spacing w:after="0" w:line="240" w:lineRule="auto"/>
        <w:rPr>
          <w:rFonts w:cstheme="minorHAnsi"/>
          <w:b/>
          <w:bCs/>
          <w:color w:val="2E74B5"/>
          <w:lang w:val="en-GB"/>
        </w:rPr>
      </w:pPr>
    </w:p>
    <w:p w14:paraId="594D30CE" w14:textId="015646F3" w:rsidR="00F335B1" w:rsidRDefault="00F335B1" w:rsidP="00876E47">
      <w:pPr>
        <w:spacing w:after="0" w:line="240" w:lineRule="auto"/>
        <w:rPr>
          <w:rFonts w:cstheme="minorHAnsi"/>
          <w:b/>
          <w:bCs/>
          <w:color w:val="2E74B5"/>
          <w:lang w:val="en-GB"/>
        </w:rPr>
      </w:pPr>
    </w:p>
    <w:p w14:paraId="65EC9245" w14:textId="3FB45189" w:rsidR="00F335B1" w:rsidRDefault="00F335B1" w:rsidP="00876E47">
      <w:pPr>
        <w:spacing w:after="0" w:line="240" w:lineRule="auto"/>
        <w:rPr>
          <w:rFonts w:cstheme="minorHAnsi"/>
          <w:b/>
          <w:bCs/>
          <w:color w:val="2E74B5"/>
          <w:lang w:val="en-GB"/>
        </w:rPr>
      </w:pPr>
    </w:p>
    <w:p w14:paraId="03A8CC5D" w14:textId="7DB4CC38" w:rsidR="00F335B1" w:rsidRDefault="00F335B1" w:rsidP="00876E47">
      <w:pPr>
        <w:spacing w:after="0" w:line="240" w:lineRule="auto"/>
        <w:rPr>
          <w:rFonts w:cstheme="minorHAnsi"/>
          <w:b/>
          <w:bCs/>
          <w:color w:val="2E74B5"/>
          <w:lang w:val="en-GB"/>
        </w:rPr>
      </w:pPr>
    </w:p>
    <w:p w14:paraId="1C0B88A4" w14:textId="0185BEA5" w:rsidR="00F335B1" w:rsidRDefault="00F335B1" w:rsidP="00876E47">
      <w:pPr>
        <w:spacing w:after="0" w:line="240" w:lineRule="auto"/>
        <w:rPr>
          <w:rFonts w:cstheme="minorHAnsi"/>
          <w:b/>
          <w:bCs/>
          <w:color w:val="2E74B5"/>
          <w:lang w:val="en-GB"/>
        </w:rPr>
      </w:pPr>
    </w:p>
    <w:p w14:paraId="02EF62DD" w14:textId="34B05E20" w:rsidR="00F335B1" w:rsidRDefault="00F335B1" w:rsidP="00876E47">
      <w:pPr>
        <w:spacing w:after="0" w:line="240" w:lineRule="auto"/>
        <w:rPr>
          <w:rFonts w:cstheme="minorHAnsi"/>
          <w:b/>
          <w:bCs/>
          <w:color w:val="2E74B5"/>
          <w:lang w:val="en-GB"/>
        </w:rPr>
      </w:pPr>
    </w:p>
    <w:p w14:paraId="6D17CC8C" w14:textId="450EFD06" w:rsidR="00F335B1" w:rsidRDefault="00F335B1" w:rsidP="00876E47">
      <w:pPr>
        <w:spacing w:after="0" w:line="240" w:lineRule="auto"/>
        <w:rPr>
          <w:rFonts w:cstheme="minorHAnsi"/>
          <w:b/>
          <w:bCs/>
          <w:color w:val="2E74B5"/>
          <w:lang w:val="en-GB"/>
        </w:rPr>
      </w:pPr>
    </w:p>
    <w:p w14:paraId="6B0DAF76" w14:textId="07112B5F" w:rsidR="00F335B1" w:rsidRDefault="00F335B1" w:rsidP="00876E47">
      <w:pPr>
        <w:spacing w:after="0" w:line="240" w:lineRule="auto"/>
        <w:rPr>
          <w:rFonts w:cstheme="minorHAnsi"/>
          <w:b/>
          <w:bCs/>
          <w:color w:val="2E74B5"/>
          <w:lang w:val="en-GB"/>
        </w:rPr>
      </w:pPr>
    </w:p>
    <w:p w14:paraId="38B98566" w14:textId="77777777" w:rsidR="00F335B1" w:rsidRPr="005D4115" w:rsidRDefault="00F335B1" w:rsidP="00876E47">
      <w:pPr>
        <w:spacing w:after="0" w:line="240" w:lineRule="auto"/>
        <w:rPr>
          <w:rFonts w:cstheme="minorHAnsi"/>
          <w:b/>
          <w:bCs/>
          <w:color w:val="2E74B5"/>
          <w:lang w:val="en-GB"/>
        </w:rPr>
      </w:pPr>
    </w:p>
    <w:p w14:paraId="677B512B" w14:textId="027FEFDC" w:rsidR="0011300E" w:rsidRPr="00F335B1" w:rsidRDefault="0011300E" w:rsidP="00876E47">
      <w:pPr>
        <w:spacing w:after="0" w:line="240" w:lineRule="auto"/>
        <w:rPr>
          <w:rFonts w:cstheme="minorHAnsi"/>
          <w:b/>
          <w:bCs/>
          <w:color w:val="2E74B5"/>
          <w:lang w:val="en-GB"/>
        </w:rPr>
      </w:pPr>
    </w:p>
    <w:p w14:paraId="2D9E4189" w14:textId="36BF5BF3" w:rsidR="00846CA8" w:rsidRPr="005E1D39" w:rsidRDefault="00846CA8" w:rsidP="00846CA8">
      <w:pPr>
        <w:spacing w:after="0" w:line="240" w:lineRule="auto"/>
        <w:rPr>
          <w:rFonts w:ascii="Cambria Math" w:eastAsiaTheme="majorEastAsia" w:hAnsi="Cambria Math" w:cstheme="minorHAnsi"/>
          <w:color w:val="2E74B5" w:themeColor="accent1" w:themeShade="BF"/>
          <w:sz w:val="28"/>
          <w:szCs w:val="28"/>
          <w:oMath/>
        </w:rPr>
      </w:pPr>
      <m:oMathPara>
        <m:oMath>
          <m:r>
            <m:rPr>
              <m:sty m:val="b"/>
            </m:rPr>
            <w:rPr>
              <w:rFonts w:ascii="Cambria Math" w:eastAsiaTheme="majorEastAsia" w:hAnsi="Cambria Math" w:cstheme="minorHAnsi"/>
              <w:color w:val="2E74B5" w:themeColor="accent1" w:themeShade="BF"/>
              <w:sz w:val="28"/>
              <w:szCs w:val="28"/>
            </w:rPr>
            <m:t xml:space="preserve">REGIONAL WEBINER: </m:t>
          </m:r>
        </m:oMath>
      </m:oMathPara>
    </w:p>
    <w:p w14:paraId="2B45014F" w14:textId="6F9FA40E" w:rsidR="00846CA8" w:rsidRPr="005E1D39" w:rsidRDefault="00846CA8" w:rsidP="00846CA8">
      <w:pPr>
        <w:spacing w:after="0" w:line="240" w:lineRule="auto"/>
        <w:rPr>
          <w:rFonts w:ascii="Cambria Math" w:eastAsiaTheme="majorEastAsia" w:hAnsi="Cambria Math" w:cstheme="minorHAnsi"/>
          <w:color w:val="2E74B5" w:themeColor="accent1" w:themeShade="BF"/>
          <w:sz w:val="28"/>
          <w:szCs w:val="28"/>
          <w:oMath/>
        </w:rPr>
      </w:pPr>
      <m:oMathPara>
        <m:oMath>
          <m:r>
            <m:rPr>
              <m:sty m:val="b"/>
            </m:rPr>
            <w:rPr>
              <w:rFonts w:ascii="Cambria Math" w:eastAsiaTheme="majorEastAsia" w:hAnsi="Cambria Math" w:cstheme="minorHAnsi"/>
              <w:color w:val="2E74B5" w:themeColor="accent1" w:themeShade="BF"/>
              <w:sz w:val="28"/>
              <w:szCs w:val="28"/>
            </w:rPr>
            <m:t>Reporting on the implementation of grant contracts</m:t>
          </m:r>
        </m:oMath>
      </m:oMathPara>
    </w:p>
    <w:p w14:paraId="0AB997D3" w14:textId="3A18C080" w:rsidR="0011300E" w:rsidRPr="005E1D39" w:rsidRDefault="00846CA8" w:rsidP="00846CA8">
      <w:pPr>
        <w:spacing w:after="0" w:line="240" w:lineRule="auto"/>
        <w:rPr>
          <w:rFonts w:cstheme="minorHAnsi"/>
          <w:b/>
          <w:bCs/>
          <w:color w:val="2E74B5"/>
          <w:lang w:val="en-GB"/>
        </w:rPr>
      </w:pPr>
      <m:oMathPara>
        <m:oMath>
          <m:r>
            <m:rPr>
              <m:sty m:val="b"/>
            </m:rPr>
            <w:rPr>
              <w:rFonts w:ascii="Cambria Math" w:eastAsiaTheme="majorEastAsia" w:hAnsi="Cambria Math" w:cstheme="minorHAnsi"/>
              <w:color w:val="2E74B5" w:themeColor="accent1" w:themeShade="BF"/>
              <w:sz w:val="28"/>
              <w:szCs w:val="28"/>
            </w:rPr>
            <m:t>3 - 4 November 2022</m:t>
          </m:r>
        </m:oMath>
      </m:oMathPara>
    </w:p>
    <w:p w14:paraId="78F3B136" w14:textId="77777777" w:rsidR="00846CA8" w:rsidRPr="005E1D39" w:rsidRDefault="00846CA8" w:rsidP="00F335B1">
      <w:pPr>
        <w:spacing w:after="0" w:line="240" w:lineRule="auto"/>
        <w:jc w:val="center"/>
        <w:rPr>
          <w:rFonts w:cstheme="minorHAnsi"/>
          <w:b/>
          <w:bCs/>
          <w:color w:val="2E74B5"/>
          <w:sz w:val="24"/>
          <w:szCs w:val="24"/>
          <w:lang w:val="en-GB"/>
        </w:rPr>
      </w:pPr>
    </w:p>
    <w:p w14:paraId="7A0FF98A" w14:textId="77777777" w:rsidR="005E1D39" w:rsidRPr="005E1D39" w:rsidRDefault="005E1D39" w:rsidP="00F335B1">
      <w:pPr>
        <w:spacing w:after="0" w:line="240" w:lineRule="auto"/>
        <w:jc w:val="center"/>
        <w:rPr>
          <w:rFonts w:cstheme="minorHAnsi"/>
          <w:b/>
          <w:bCs/>
          <w:color w:val="2E74B5"/>
          <w:sz w:val="24"/>
          <w:szCs w:val="24"/>
          <w:lang w:val="en-GB"/>
        </w:rPr>
      </w:pPr>
    </w:p>
    <w:p w14:paraId="5FF39BB1" w14:textId="77777777" w:rsidR="005E1D39" w:rsidRPr="005E1D39" w:rsidRDefault="005E1D39" w:rsidP="00F335B1">
      <w:pPr>
        <w:spacing w:after="0" w:line="240" w:lineRule="auto"/>
        <w:jc w:val="center"/>
        <w:rPr>
          <w:rFonts w:cstheme="minorHAnsi"/>
          <w:b/>
          <w:bCs/>
          <w:color w:val="2E74B5"/>
          <w:sz w:val="24"/>
          <w:szCs w:val="24"/>
          <w:lang w:val="en-GB"/>
        </w:rPr>
      </w:pPr>
    </w:p>
    <w:p w14:paraId="0D0225DD" w14:textId="369F8F29" w:rsidR="0011300E" w:rsidRPr="005E1D39" w:rsidRDefault="005E1D39" w:rsidP="00F335B1">
      <w:pPr>
        <w:spacing w:after="0" w:line="240" w:lineRule="auto"/>
        <w:jc w:val="center"/>
        <w:rPr>
          <w:rFonts w:eastAsiaTheme="majorEastAsia" w:cstheme="minorHAnsi"/>
          <w:b/>
          <w:color w:val="2E74B5" w:themeColor="accent1" w:themeShade="BF"/>
          <w:sz w:val="28"/>
          <w:szCs w:val="28"/>
        </w:rPr>
      </w:pPr>
      <w:r w:rsidRPr="005E1D39">
        <w:rPr>
          <w:rFonts w:eastAsiaTheme="majorEastAsia" w:cstheme="minorHAnsi"/>
          <w:b/>
          <w:color w:val="2E74B5" w:themeColor="accent1" w:themeShade="BF"/>
          <w:sz w:val="28"/>
          <w:szCs w:val="28"/>
        </w:rPr>
        <w:t>Questions and answers</w:t>
      </w:r>
    </w:p>
    <w:p w14:paraId="4DDA2FA6" w14:textId="77777777" w:rsidR="00F335B1" w:rsidRPr="005E1D39" w:rsidRDefault="00F335B1" w:rsidP="00F335B1">
      <w:pPr>
        <w:spacing w:after="0" w:line="240" w:lineRule="auto"/>
        <w:jc w:val="center"/>
        <w:rPr>
          <w:rFonts w:cstheme="minorHAnsi"/>
          <w:b/>
          <w:bCs/>
          <w:color w:val="2E74B5"/>
          <w:sz w:val="24"/>
          <w:szCs w:val="24"/>
          <w:lang w:val="en-GB"/>
        </w:rPr>
      </w:pPr>
    </w:p>
    <w:p w14:paraId="267354B5" w14:textId="50E86881" w:rsidR="0011300E" w:rsidRPr="005D4115" w:rsidRDefault="0011300E" w:rsidP="00876E47">
      <w:pPr>
        <w:spacing w:after="0" w:line="240" w:lineRule="auto"/>
        <w:rPr>
          <w:rFonts w:cstheme="minorHAnsi"/>
          <w:b/>
          <w:bCs/>
          <w:color w:val="2E74B5"/>
          <w:lang w:val="en-GB"/>
        </w:rPr>
      </w:pPr>
    </w:p>
    <w:p w14:paraId="3185758A" w14:textId="6D05E63B" w:rsidR="0011300E" w:rsidRDefault="0011300E" w:rsidP="00876E47">
      <w:pPr>
        <w:spacing w:after="0" w:line="240" w:lineRule="auto"/>
        <w:rPr>
          <w:rFonts w:cstheme="minorHAnsi"/>
          <w:b/>
          <w:bCs/>
          <w:color w:val="2E74B5"/>
          <w:lang w:val="en-GB"/>
        </w:rPr>
      </w:pPr>
    </w:p>
    <w:p w14:paraId="165E51C8" w14:textId="3B74324F" w:rsidR="00F335B1" w:rsidRDefault="00F335B1" w:rsidP="00876E47">
      <w:pPr>
        <w:spacing w:after="0" w:line="240" w:lineRule="auto"/>
        <w:rPr>
          <w:rFonts w:cstheme="minorHAnsi"/>
          <w:b/>
          <w:bCs/>
          <w:color w:val="2E74B5"/>
          <w:lang w:val="en-GB"/>
        </w:rPr>
      </w:pPr>
    </w:p>
    <w:p w14:paraId="73BAD391" w14:textId="61535DD5" w:rsidR="00F335B1" w:rsidRDefault="00F335B1" w:rsidP="00876E47">
      <w:pPr>
        <w:spacing w:after="0" w:line="240" w:lineRule="auto"/>
        <w:rPr>
          <w:rFonts w:cstheme="minorHAnsi"/>
          <w:b/>
          <w:bCs/>
          <w:color w:val="2E74B5"/>
          <w:lang w:val="en-GB"/>
        </w:rPr>
      </w:pPr>
    </w:p>
    <w:p w14:paraId="56438D78" w14:textId="78970D4E" w:rsidR="00F335B1" w:rsidRDefault="00F335B1" w:rsidP="00876E47">
      <w:pPr>
        <w:spacing w:after="0" w:line="240" w:lineRule="auto"/>
        <w:rPr>
          <w:rFonts w:cstheme="minorHAnsi"/>
          <w:b/>
          <w:bCs/>
          <w:color w:val="2E74B5"/>
          <w:lang w:val="en-GB"/>
        </w:rPr>
      </w:pPr>
    </w:p>
    <w:p w14:paraId="55E66BEF" w14:textId="03C7A0BF" w:rsidR="00F335B1" w:rsidRDefault="00F335B1" w:rsidP="00876E47">
      <w:pPr>
        <w:spacing w:after="0" w:line="240" w:lineRule="auto"/>
        <w:rPr>
          <w:rFonts w:cstheme="minorHAnsi"/>
          <w:b/>
          <w:bCs/>
          <w:color w:val="2E74B5"/>
          <w:lang w:val="en-GB"/>
        </w:rPr>
      </w:pPr>
    </w:p>
    <w:p w14:paraId="1C6E689A" w14:textId="52AF8BAC" w:rsidR="00F335B1" w:rsidRDefault="00F335B1" w:rsidP="00876E47">
      <w:pPr>
        <w:spacing w:after="0" w:line="240" w:lineRule="auto"/>
        <w:rPr>
          <w:rFonts w:cstheme="minorHAnsi"/>
          <w:b/>
          <w:bCs/>
          <w:color w:val="2E74B5"/>
          <w:lang w:val="en-GB"/>
        </w:rPr>
      </w:pPr>
    </w:p>
    <w:p w14:paraId="338E3A60" w14:textId="758161C6" w:rsidR="00F335B1" w:rsidRDefault="00F335B1" w:rsidP="00876E47">
      <w:pPr>
        <w:spacing w:after="0" w:line="240" w:lineRule="auto"/>
        <w:rPr>
          <w:rFonts w:cstheme="minorHAnsi"/>
          <w:b/>
          <w:bCs/>
          <w:color w:val="2E74B5"/>
          <w:lang w:val="en-GB"/>
        </w:rPr>
      </w:pPr>
    </w:p>
    <w:p w14:paraId="28F9FFB9" w14:textId="77777777" w:rsidR="005E1D39" w:rsidRDefault="005E1D39" w:rsidP="00876E47">
      <w:pPr>
        <w:spacing w:after="0" w:line="240" w:lineRule="auto"/>
        <w:rPr>
          <w:rFonts w:cstheme="minorHAnsi"/>
          <w:b/>
          <w:bCs/>
          <w:color w:val="2E74B5"/>
          <w:lang w:val="en-GB"/>
        </w:rPr>
      </w:pPr>
    </w:p>
    <w:p w14:paraId="77DA9933" w14:textId="77777777" w:rsidR="005E1D39" w:rsidRDefault="005E1D39" w:rsidP="00876E47">
      <w:pPr>
        <w:spacing w:after="0" w:line="240" w:lineRule="auto"/>
        <w:rPr>
          <w:rFonts w:cstheme="minorHAnsi"/>
          <w:b/>
          <w:bCs/>
          <w:color w:val="2E74B5"/>
          <w:lang w:val="en-GB"/>
        </w:rPr>
      </w:pPr>
    </w:p>
    <w:p w14:paraId="7F90E934" w14:textId="754F6EE4" w:rsidR="00F335B1" w:rsidRDefault="00F335B1" w:rsidP="00876E47">
      <w:pPr>
        <w:spacing w:after="0" w:line="240" w:lineRule="auto"/>
        <w:rPr>
          <w:rFonts w:cstheme="minorHAnsi"/>
          <w:b/>
          <w:bCs/>
          <w:color w:val="2E74B5"/>
          <w:lang w:val="en-GB"/>
        </w:rPr>
      </w:pPr>
    </w:p>
    <w:p w14:paraId="035E1C8A" w14:textId="4C79896A" w:rsidR="00F335B1" w:rsidRDefault="00F335B1" w:rsidP="00876E47">
      <w:pPr>
        <w:spacing w:after="0" w:line="240" w:lineRule="auto"/>
        <w:rPr>
          <w:rFonts w:cstheme="minorHAnsi"/>
          <w:b/>
          <w:bCs/>
          <w:color w:val="2E74B5"/>
          <w:lang w:val="en-GB"/>
        </w:rPr>
      </w:pPr>
    </w:p>
    <w:p w14:paraId="6D997295" w14:textId="77777777" w:rsidR="00F335B1" w:rsidRDefault="00F335B1" w:rsidP="00876E47">
      <w:pPr>
        <w:spacing w:after="0" w:line="240" w:lineRule="auto"/>
        <w:rPr>
          <w:rFonts w:cstheme="minorHAnsi"/>
          <w:b/>
          <w:bCs/>
          <w:color w:val="2E74B5"/>
          <w:lang w:val="en-GB"/>
        </w:rPr>
      </w:pPr>
    </w:p>
    <w:p w14:paraId="3CC3BE92" w14:textId="3C72C992" w:rsidR="00F335B1" w:rsidRPr="00F335B1" w:rsidRDefault="00F335B1" w:rsidP="00876E47">
      <w:pPr>
        <w:spacing w:after="0" w:line="240" w:lineRule="auto"/>
        <w:rPr>
          <w:rFonts w:cstheme="minorHAnsi"/>
          <w:color w:val="000000" w:themeColor="text1"/>
          <w:lang w:val="en-GB"/>
        </w:rPr>
      </w:pPr>
    </w:p>
    <w:p w14:paraId="67FAFFCA" w14:textId="6535DA64" w:rsidR="0011300E" w:rsidRPr="005D4115" w:rsidRDefault="00F335B1" w:rsidP="00876E47">
      <w:pPr>
        <w:spacing w:after="0" w:line="240" w:lineRule="auto"/>
        <w:rPr>
          <w:rFonts w:cstheme="minorHAnsi"/>
          <w:b/>
          <w:bCs/>
          <w:color w:val="2E74B5"/>
          <w:lang w:val="en-GB"/>
        </w:rPr>
      </w:pPr>
      <w:r w:rsidRPr="00F335B1">
        <w:rPr>
          <w:rFonts w:cstheme="minorHAnsi"/>
          <w:color w:val="000000" w:themeColor="text1"/>
          <w:lang w:val="en-GB"/>
        </w:rPr>
        <w:t xml:space="preserve">Prepared by </w:t>
      </w:r>
      <w:r w:rsidR="00EA61F9">
        <w:rPr>
          <w:rFonts w:cstheme="minorHAnsi"/>
          <w:color w:val="000000" w:themeColor="text1"/>
          <w:lang w:val="en-GB"/>
        </w:rPr>
        <w:t>Kalina Marković Ilić, grant reporting expert</w:t>
      </w:r>
    </w:p>
    <w:p w14:paraId="2333E9F9" w14:textId="77777777" w:rsidR="0011300E" w:rsidRPr="005D4115" w:rsidRDefault="0011300E" w:rsidP="00876E47">
      <w:pPr>
        <w:spacing w:after="0" w:line="240" w:lineRule="auto"/>
        <w:rPr>
          <w:rFonts w:cstheme="minorHAnsi"/>
          <w:b/>
          <w:bCs/>
          <w:color w:val="2E74B5"/>
          <w:lang w:val="en-GB"/>
        </w:rPr>
      </w:pPr>
    </w:p>
    <w:p w14:paraId="19A3C1BD" w14:textId="35D91AD5" w:rsidR="0011300E" w:rsidRPr="005D4115" w:rsidRDefault="0011300E" w:rsidP="00876E47">
      <w:pPr>
        <w:spacing w:after="0" w:line="240" w:lineRule="auto"/>
        <w:rPr>
          <w:rFonts w:cstheme="minorHAnsi"/>
          <w:b/>
          <w:bCs/>
          <w:color w:val="2E74B5"/>
          <w:lang w:val="en-GB"/>
        </w:rPr>
      </w:pPr>
    </w:p>
    <w:p w14:paraId="3A4C1FB1" w14:textId="77777777" w:rsidR="0011300E" w:rsidRPr="005D4115" w:rsidRDefault="0011300E" w:rsidP="00876E47">
      <w:pPr>
        <w:spacing w:after="0" w:line="240" w:lineRule="auto"/>
        <w:rPr>
          <w:rFonts w:cstheme="minorHAnsi"/>
          <w:b/>
          <w:bCs/>
          <w:color w:val="2E74B5"/>
          <w:lang w:val="en-GB"/>
        </w:rPr>
      </w:pPr>
    </w:p>
    <w:p w14:paraId="15688D57" w14:textId="77777777" w:rsidR="0011300E" w:rsidRPr="005D4115" w:rsidRDefault="0011300E" w:rsidP="00876E47">
      <w:pPr>
        <w:spacing w:after="0" w:line="240" w:lineRule="auto"/>
        <w:rPr>
          <w:rFonts w:cstheme="minorHAnsi"/>
          <w:b/>
          <w:bCs/>
          <w:color w:val="2E74B5"/>
          <w:lang w:val="en-GB"/>
        </w:rPr>
      </w:pPr>
    </w:p>
    <w:p w14:paraId="6702F362" w14:textId="77777777" w:rsidR="0011300E" w:rsidRPr="005D4115" w:rsidRDefault="0011300E" w:rsidP="00876E47">
      <w:pPr>
        <w:spacing w:after="0" w:line="240" w:lineRule="auto"/>
        <w:rPr>
          <w:rFonts w:cstheme="minorHAnsi"/>
          <w:b/>
          <w:bCs/>
          <w:color w:val="2E74B5"/>
          <w:lang w:val="en-GB"/>
        </w:rPr>
      </w:pPr>
    </w:p>
    <w:p w14:paraId="773FD9F4" w14:textId="77777777" w:rsidR="0011300E" w:rsidRPr="005D4115" w:rsidRDefault="0011300E" w:rsidP="00876E47">
      <w:pPr>
        <w:spacing w:after="0" w:line="240" w:lineRule="auto"/>
        <w:rPr>
          <w:rFonts w:cstheme="minorHAnsi"/>
          <w:b/>
          <w:bCs/>
          <w:color w:val="2E74B5"/>
          <w:lang w:val="en-GB"/>
        </w:rPr>
      </w:pPr>
    </w:p>
    <w:p w14:paraId="6799604C" w14:textId="77777777" w:rsidR="0011300E" w:rsidRPr="005D4115" w:rsidRDefault="0011300E" w:rsidP="00876E47">
      <w:pPr>
        <w:spacing w:after="0" w:line="240" w:lineRule="auto"/>
        <w:rPr>
          <w:rFonts w:cstheme="minorHAnsi"/>
          <w:b/>
          <w:bCs/>
          <w:color w:val="2E74B5"/>
          <w:lang w:val="en-GB"/>
        </w:rPr>
      </w:pPr>
    </w:p>
    <w:p w14:paraId="02102ACA" w14:textId="77777777" w:rsidR="0011300E" w:rsidRPr="005D4115" w:rsidRDefault="0011300E" w:rsidP="00876E47">
      <w:pPr>
        <w:spacing w:after="0" w:line="240" w:lineRule="auto"/>
        <w:rPr>
          <w:rFonts w:cstheme="minorHAnsi"/>
          <w:b/>
          <w:bCs/>
          <w:color w:val="2E74B5"/>
          <w:lang w:val="en-GB"/>
        </w:rPr>
      </w:pPr>
    </w:p>
    <w:p w14:paraId="41463F6E" w14:textId="77777777" w:rsidR="0011300E" w:rsidRPr="005D4115" w:rsidRDefault="0011300E" w:rsidP="00876E47">
      <w:pPr>
        <w:spacing w:after="0" w:line="240" w:lineRule="auto"/>
        <w:rPr>
          <w:rFonts w:cstheme="minorHAnsi"/>
          <w:b/>
          <w:bCs/>
          <w:color w:val="2E74B5"/>
          <w:lang w:val="en-GB"/>
        </w:rPr>
      </w:pPr>
    </w:p>
    <w:p w14:paraId="3EFC33B5" w14:textId="77777777" w:rsidR="0011300E" w:rsidRPr="005D4115" w:rsidRDefault="0011300E" w:rsidP="00876E47">
      <w:pPr>
        <w:spacing w:after="0" w:line="240" w:lineRule="auto"/>
        <w:rPr>
          <w:rFonts w:cstheme="minorHAnsi"/>
          <w:b/>
          <w:bCs/>
          <w:color w:val="2E74B5"/>
          <w:lang w:val="en-GB"/>
        </w:rPr>
      </w:pPr>
    </w:p>
    <w:p w14:paraId="6C5881F0" w14:textId="77777777" w:rsidR="0011300E" w:rsidRPr="005D4115" w:rsidRDefault="0011300E" w:rsidP="00876E47">
      <w:pPr>
        <w:spacing w:after="0" w:line="240" w:lineRule="auto"/>
        <w:rPr>
          <w:rFonts w:cstheme="minorHAnsi"/>
          <w:b/>
          <w:bCs/>
          <w:color w:val="2E74B5"/>
          <w:lang w:val="en-GB"/>
        </w:rPr>
      </w:pPr>
    </w:p>
    <w:p w14:paraId="1A7DD691" w14:textId="77777777" w:rsidR="0011300E" w:rsidRPr="005D4115" w:rsidRDefault="0011300E" w:rsidP="00876E47">
      <w:pPr>
        <w:spacing w:after="0" w:line="240" w:lineRule="auto"/>
        <w:rPr>
          <w:rFonts w:cstheme="minorHAnsi"/>
          <w:b/>
          <w:bCs/>
          <w:color w:val="2E74B5"/>
          <w:lang w:val="en-GB"/>
        </w:rPr>
      </w:pPr>
    </w:p>
    <w:p w14:paraId="689D2E3F" w14:textId="77777777" w:rsidR="0011300E" w:rsidRPr="005D4115" w:rsidRDefault="0011300E" w:rsidP="00876E47">
      <w:pPr>
        <w:spacing w:after="0" w:line="240" w:lineRule="auto"/>
        <w:rPr>
          <w:rFonts w:cstheme="minorHAnsi"/>
          <w:b/>
          <w:bCs/>
          <w:color w:val="2E74B5"/>
          <w:lang w:val="en-GB"/>
        </w:rPr>
      </w:pPr>
    </w:p>
    <w:p w14:paraId="3F6379BE" w14:textId="77777777" w:rsidR="0011300E" w:rsidRPr="005D4115" w:rsidRDefault="0011300E" w:rsidP="00876E47">
      <w:pPr>
        <w:spacing w:after="0" w:line="240" w:lineRule="auto"/>
        <w:rPr>
          <w:rFonts w:cstheme="minorHAnsi"/>
          <w:b/>
          <w:bCs/>
          <w:color w:val="2E74B5"/>
          <w:lang w:val="en-GB"/>
        </w:rPr>
      </w:pPr>
    </w:p>
    <w:p w14:paraId="094E74C5" w14:textId="77777777" w:rsidR="00196507" w:rsidRPr="005D4115" w:rsidRDefault="00196507" w:rsidP="00876E47">
      <w:pPr>
        <w:spacing w:after="0" w:line="240" w:lineRule="auto"/>
        <w:rPr>
          <w:rFonts w:cstheme="minorHAnsi"/>
          <w:b/>
          <w:bCs/>
          <w:color w:val="2E74B5"/>
          <w:lang w:val="en-GB"/>
        </w:rPr>
      </w:pPr>
    </w:p>
    <w:tbl>
      <w:tblPr>
        <w:tblStyle w:val="TableGrid"/>
        <w:tblW w:w="0" w:type="auto"/>
        <w:tblLook w:val="04A0" w:firstRow="1" w:lastRow="0" w:firstColumn="1" w:lastColumn="0" w:noHBand="0" w:noVBand="1"/>
      </w:tblPr>
      <w:tblGrid>
        <w:gridCol w:w="562"/>
        <w:gridCol w:w="3969"/>
        <w:gridCol w:w="4531"/>
      </w:tblGrid>
      <w:tr w:rsidR="005E1D39" w14:paraId="5DCD7A35" w14:textId="77777777" w:rsidTr="004A1CFE">
        <w:tc>
          <w:tcPr>
            <w:tcW w:w="562" w:type="dxa"/>
            <w:shd w:val="clear" w:color="auto" w:fill="E2EFD9" w:themeFill="accent6" w:themeFillTint="33"/>
          </w:tcPr>
          <w:p w14:paraId="3D6A7B64" w14:textId="77777777" w:rsidR="005E1D39" w:rsidRDefault="005E1D39" w:rsidP="005E1D39">
            <w:pPr>
              <w:jc w:val="center"/>
              <w:rPr>
                <w:rFonts w:cstheme="minorHAnsi"/>
                <w:b/>
                <w:bCs/>
                <w:color w:val="2E74B5"/>
                <w:lang w:val="en-GB"/>
              </w:rPr>
            </w:pPr>
          </w:p>
        </w:tc>
        <w:tc>
          <w:tcPr>
            <w:tcW w:w="3969" w:type="dxa"/>
            <w:shd w:val="clear" w:color="auto" w:fill="E2EFD9" w:themeFill="accent6" w:themeFillTint="33"/>
          </w:tcPr>
          <w:p w14:paraId="1FB049CA" w14:textId="095FDB3D" w:rsidR="005E1D39" w:rsidRDefault="005E1D39" w:rsidP="005E1D39">
            <w:pPr>
              <w:jc w:val="center"/>
              <w:rPr>
                <w:rFonts w:cstheme="minorHAnsi"/>
                <w:b/>
                <w:bCs/>
                <w:color w:val="2E74B5"/>
                <w:lang w:val="en-GB"/>
              </w:rPr>
            </w:pPr>
            <w:r>
              <w:rPr>
                <w:rFonts w:cstheme="minorHAnsi"/>
                <w:b/>
                <w:bCs/>
                <w:color w:val="2E74B5"/>
                <w:lang w:val="en-GB"/>
              </w:rPr>
              <w:t>Question</w:t>
            </w:r>
          </w:p>
        </w:tc>
        <w:tc>
          <w:tcPr>
            <w:tcW w:w="4531" w:type="dxa"/>
            <w:shd w:val="clear" w:color="auto" w:fill="E2EFD9" w:themeFill="accent6" w:themeFillTint="33"/>
          </w:tcPr>
          <w:p w14:paraId="490B9E87" w14:textId="6912AD71" w:rsidR="005E1D39" w:rsidRDefault="005E1D39" w:rsidP="005E1D39">
            <w:pPr>
              <w:jc w:val="center"/>
              <w:rPr>
                <w:rFonts w:cstheme="minorHAnsi"/>
                <w:b/>
                <w:bCs/>
                <w:color w:val="2E74B5"/>
                <w:lang w:val="en-GB"/>
              </w:rPr>
            </w:pPr>
            <w:r>
              <w:rPr>
                <w:rFonts w:cstheme="minorHAnsi"/>
                <w:b/>
                <w:bCs/>
                <w:color w:val="2E74B5"/>
                <w:lang w:val="en-GB"/>
              </w:rPr>
              <w:t>Answer</w:t>
            </w:r>
          </w:p>
        </w:tc>
      </w:tr>
      <w:tr w:rsidR="005E1D39" w14:paraId="75C86030" w14:textId="77777777" w:rsidTr="004A1CFE">
        <w:tc>
          <w:tcPr>
            <w:tcW w:w="562" w:type="dxa"/>
          </w:tcPr>
          <w:p w14:paraId="2D66B7FC" w14:textId="15DF4F00" w:rsidR="005E1D39" w:rsidRDefault="005E1D39" w:rsidP="00876E47">
            <w:pPr>
              <w:rPr>
                <w:rFonts w:cstheme="minorHAnsi"/>
                <w:b/>
                <w:bCs/>
                <w:color w:val="2E74B5"/>
                <w:lang w:val="en-GB"/>
              </w:rPr>
            </w:pPr>
            <w:r>
              <w:rPr>
                <w:rFonts w:cstheme="minorHAnsi"/>
                <w:b/>
                <w:bCs/>
                <w:color w:val="2E74B5"/>
                <w:lang w:val="en-GB"/>
              </w:rPr>
              <w:t>1</w:t>
            </w:r>
          </w:p>
        </w:tc>
        <w:tc>
          <w:tcPr>
            <w:tcW w:w="3969" w:type="dxa"/>
          </w:tcPr>
          <w:p w14:paraId="1B6DD637" w14:textId="77777777" w:rsidR="003C53C4" w:rsidRPr="00C14896" w:rsidRDefault="001F55FB" w:rsidP="00687B48">
            <w:pPr>
              <w:spacing w:before="120" w:after="120"/>
              <w:jc w:val="both"/>
              <w:rPr>
                <w:rFonts w:cstheme="minorHAnsi"/>
                <w:lang w:val="ru-RU"/>
              </w:rPr>
            </w:pPr>
            <w:r w:rsidRPr="00C14896">
              <w:rPr>
                <w:rFonts w:cstheme="minorHAnsi"/>
                <w:lang w:val="ru-RU"/>
              </w:rPr>
              <w:t>In the event that some prices go up in the meantime, which no one can influence, and the procurement has been carried out and the contract concluded, what is done in those situations?</w:t>
            </w:r>
          </w:p>
          <w:p w14:paraId="04F7151B" w14:textId="6396B474" w:rsidR="003C53C4" w:rsidRPr="00C14896" w:rsidRDefault="001F55FB" w:rsidP="00687B48">
            <w:pPr>
              <w:spacing w:before="120" w:after="120"/>
              <w:jc w:val="both"/>
              <w:rPr>
                <w:rFonts w:cstheme="minorHAnsi"/>
                <w:lang w:val="ru-RU"/>
              </w:rPr>
            </w:pPr>
            <w:r w:rsidRPr="00C14896">
              <w:rPr>
                <w:rFonts w:cstheme="minorHAnsi"/>
                <w:lang w:val="ru-RU"/>
              </w:rPr>
              <w:t>Since it is a multi-year contract, the supplier is no longer able to deliver the product at the agreed price, is it possible to make an annex to the contract or terminate the contract and look for a new supplier? The problem is that since the latest cost planning there have been unforeseen developments that no one could have predicted as risks, such as the pandemic and the war in Ukraine</w:t>
            </w:r>
          </w:p>
          <w:p w14:paraId="2ED622F0" w14:textId="4965AE38" w:rsidR="00CC0925" w:rsidRPr="00C14896" w:rsidRDefault="003C53C4" w:rsidP="00687B48">
            <w:pPr>
              <w:spacing w:before="120" w:after="120"/>
              <w:jc w:val="both"/>
              <w:rPr>
                <w:rFonts w:cstheme="minorHAnsi"/>
                <w:lang w:val="sr-Latn-RS"/>
              </w:rPr>
            </w:pPr>
            <w:r w:rsidRPr="00C14896">
              <w:rPr>
                <w:rFonts w:cstheme="minorHAnsi"/>
                <w:lang w:val="sr-Latn-RS"/>
              </w:rPr>
              <w:t>O</w:t>
            </w:r>
            <w:r w:rsidR="00CC0925" w:rsidRPr="00C14896">
              <w:rPr>
                <w:rFonts w:cstheme="minorHAnsi"/>
                <w:lang w:val="ru-RU"/>
              </w:rPr>
              <w:t>r you can see the market prices for the translation in time when prices and service rise and if they are really higher than I guess it will be reasonable to continue with the same translator and do annex of the contract</w:t>
            </w:r>
            <w:r w:rsidRPr="00C14896">
              <w:rPr>
                <w:rFonts w:cstheme="minorHAnsi"/>
                <w:lang w:val="sr-Latn-RS"/>
              </w:rPr>
              <w:t>?</w:t>
            </w:r>
          </w:p>
        </w:tc>
        <w:tc>
          <w:tcPr>
            <w:tcW w:w="4531" w:type="dxa"/>
          </w:tcPr>
          <w:p w14:paraId="59911CD7" w14:textId="3C693B2C" w:rsidR="005E1D39" w:rsidRPr="00C14896" w:rsidRDefault="00647DB3" w:rsidP="00687B48">
            <w:pPr>
              <w:spacing w:before="120" w:after="120"/>
              <w:jc w:val="both"/>
              <w:rPr>
                <w:rFonts w:cstheme="minorHAnsi"/>
                <w:lang w:val="en-GB"/>
              </w:rPr>
            </w:pPr>
            <w:r w:rsidRPr="00C14896">
              <w:rPr>
                <w:rFonts w:cstheme="minorHAnsi"/>
                <w:lang w:val="en-GB"/>
              </w:rPr>
              <w:t>First</w:t>
            </w:r>
            <w:r w:rsidR="001F3190" w:rsidRPr="00C14896">
              <w:rPr>
                <w:rFonts w:cstheme="minorHAnsi"/>
                <w:lang w:val="en-GB"/>
              </w:rPr>
              <w:t>ly</w:t>
            </w:r>
            <w:r w:rsidR="00B87E0E" w:rsidRPr="00C14896">
              <w:rPr>
                <w:rFonts w:cstheme="minorHAnsi"/>
                <w:lang w:val="en-GB"/>
              </w:rPr>
              <w:t>, when procurement</w:t>
            </w:r>
            <w:r w:rsidR="008D521C">
              <w:rPr>
                <w:rFonts w:cstheme="minorHAnsi"/>
                <w:lang w:val="en-GB"/>
              </w:rPr>
              <w:t xml:space="preserve"> procedure</w:t>
            </w:r>
            <w:r w:rsidR="00B87E0E" w:rsidRPr="00C14896">
              <w:rPr>
                <w:rFonts w:cstheme="minorHAnsi"/>
                <w:lang w:val="en-GB"/>
              </w:rPr>
              <w:t xml:space="preserve"> </w:t>
            </w:r>
            <w:r w:rsidR="00FB4816" w:rsidRPr="00C14896">
              <w:rPr>
                <w:rFonts w:cstheme="minorHAnsi"/>
                <w:lang w:val="en-GB"/>
              </w:rPr>
              <w:t>is</w:t>
            </w:r>
            <w:r w:rsidR="00B87E0E" w:rsidRPr="00C14896">
              <w:rPr>
                <w:rFonts w:cstheme="minorHAnsi"/>
                <w:lang w:val="en-GB"/>
              </w:rPr>
              <w:t xml:space="preserve"> implemented and contract is concluded, </w:t>
            </w:r>
            <w:r w:rsidR="008D521C">
              <w:rPr>
                <w:rFonts w:cstheme="minorHAnsi"/>
                <w:lang w:val="en-GB"/>
              </w:rPr>
              <w:t xml:space="preserve">contractor </w:t>
            </w:r>
            <w:r w:rsidR="005D43D2" w:rsidRPr="00C14896">
              <w:rPr>
                <w:rFonts w:cstheme="minorHAnsi"/>
                <w:lang w:val="en-GB"/>
              </w:rPr>
              <w:t>is</w:t>
            </w:r>
            <w:r w:rsidR="00B87E0E" w:rsidRPr="00C14896">
              <w:rPr>
                <w:rFonts w:cstheme="minorHAnsi"/>
                <w:lang w:val="en-GB"/>
              </w:rPr>
              <w:t xml:space="preserve"> </w:t>
            </w:r>
            <w:r w:rsidR="00A45594" w:rsidRPr="00C14896">
              <w:rPr>
                <w:rFonts w:cstheme="minorHAnsi"/>
                <w:lang w:val="en-GB"/>
              </w:rPr>
              <w:t xml:space="preserve">committed to deliver </w:t>
            </w:r>
            <w:r w:rsidR="00F56DF1" w:rsidRPr="00C14896">
              <w:rPr>
                <w:rFonts w:cstheme="minorHAnsi"/>
                <w:lang w:val="en-GB"/>
              </w:rPr>
              <w:t>service/supply</w:t>
            </w:r>
            <w:r w:rsidR="008D521C">
              <w:rPr>
                <w:rFonts w:cstheme="minorHAnsi"/>
                <w:lang w:val="en-GB"/>
              </w:rPr>
              <w:t>/works</w:t>
            </w:r>
            <w:r w:rsidR="00F56DF1" w:rsidRPr="00C14896">
              <w:rPr>
                <w:rFonts w:cstheme="minorHAnsi"/>
                <w:lang w:val="en-GB"/>
              </w:rPr>
              <w:t xml:space="preserve"> </w:t>
            </w:r>
            <w:r w:rsidR="00A45594" w:rsidRPr="00C14896">
              <w:rPr>
                <w:rFonts w:cstheme="minorHAnsi"/>
                <w:lang w:val="en-GB"/>
              </w:rPr>
              <w:t xml:space="preserve">on the bases of their technical and financial offer. Additional </w:t>
            </w:r>
            <w:r w:rsidR="00AB324E" w:rsidRPr="00C14896">
              <w:rPr>
                <w:rFonts w:cstheme="minorHAnsi"/>
                <w:lang w:val="en-GB"/>
              </w:rPr>
              <w:t xml:space="preserve">alteration of financial offer may lead to changes of the </w:t>
            </w:r>
            <w:r w:rsidR="001F55B7" w:rsidRPr="00C14896">
              <w:rPr>
                <w:rFonts w:cstheme="minorHAnsi"/>
                <w:lang w:val="en-GB"/>
              </w:rPr>
              <w:t xml:space="preserve">award </w:t>
            </w:r>
            <w:r w:rsidR="008072FC" w:rsidRPr="00C14896">
              <w:rPr>
                <w:rFonts w:cstheme="minorHAnsi"/>
                <w:lang w:val="en-GB"/>
              </w:rPr>
              <w:t>criteria/</w:t>
            </w:r>
            <w:r w:rsidR="00AB324E" w:rsidRPr="00C14896">
              <w:rPr>
                <w:rFonts w:cstheme="minorHAnsi"/>
                <w:lang w:val="en-GB"/>
              </w:rPr>
              <w:t xml:space="preserve">conditions </w:t>
            </w:r>
            <w:r w:rsidR="001F55B7" w:rsidRPr="00C14896">
              <w:rPr>
                <w:rFonts w:cstheme="minorHAnsi"/>
                <w:lang w:val="en-GB"/>
              </w:rPr>
              <w:t xml:space="preserve">which may lead to </w:t>
            </w:r>
            <w:r w:rsidR="008072FC" w:rsidRPr="00C14896">
              <w:rPr>
                <w:rFonts w:cstheme="minorHAnsi"/>
                <w:lang w:val="en-GB"/>
              </w:rPr>
              <w:t>non-eligible costs</w:t>
            </w:r>
            <w:r w:rsidR="00F56DF1" w:rsidRPr="00C14896">
              <w:rPr>
                <w:rFonts w:cstheme="minorHAnsi"/>
                <w:lang w:val="en-GB"/>
              </w:rPr>
              <w:t xml:space="preserve">. </w:t>
            </w:r>
            <w:r w:rsidR="008D521C">
              <w:rPr>
                <w:rFonts w:cstheme="minorHAnsi"/>
                <w:lang w:val="en-GB"/>
              </w:rPr>
              <w:t xml:space="preserve">Therefore, it should be extremely cautious when deciding about any cost extensions. </w:t>
            </w:r>
            <w:r w:rsidR="00AB324E" w:rsidRPr="00C14896">
              <w:rPr>
                <w:rFonts w:cstheme="minorHAnsi"/>
                <w:lang w:val="en-GB"/>
              </w:rPr>
              <w:t xml:space="preserve"> </w:t>
            </w:r>
          </w:p>
          <w:p w14:paraId="185F6891" w14:textId="52AD62FD" w:rsidR="00B44945" w:rsidRPr="00C14896" w:rsidRDefault="00647DB3" w:rsidP="00687B48">
            <w:pPr>
              <w:spacing w:before="120" w:after="120"/>
              <w:jc w:val="both"/>
              <w:rPr>
                <w:rFonts w:cstheme="minorHAnsi"/>
                <w:lang w:val="en-GB"/>
              </w:rPr>
            </w:pPr>
            <w:r w:rsidRPr="00C14896">
              <w:rPr>
                <w:rFonts w:cstheme="minorHAnsi"/>
                <w:lang w:val="en-GB"/>
              </w:rPr>
              <w:t>Second</w:t>
            </w:r>
            <w:r w:rsidR="001F3190" w:rsidRPr="00C14896">
              <w:rPr>
                <w:rFonts w:cstheme="minorHAnsi"/>
                <w:lang w:val="en-GB"/>
              </w:rPr>
              <w:t>ly</w:t>
            </w:r>
            <w:r w:rsidRPr="00C14896">
              <w:rPr>
                <w:rFonts w:cstheme="minorHAnsi"/>
                <w:lang w:val="en-GB"/>
              </w:rPr>
              <w:t>, any change must be justified</w:t>
            </w:r>
            <w:r w:rsidR="00275AD3" w:rsidRPr="00C14896">
              <w:rPr>
                <w:rFonts w:cstheme="minorHAnsi"/>
                <w:lang w:val="en-GB"/>
              </w:rPr>
              <w:t>, especially when it come</w:t>
            </w:r>
            <w:r w:rsidR="001F3190" w:rsidRPr="00C14896">
              <w:rPr>
                <w:rFonts w:cstheme="minorHAnsi"/>
                <w:lang w:val="en-GB"/>
              </w:rPr>
              <w:t>s</w:t>
            </w:r>
            <w:r w:rsidR="00275AD3" w:rsidRPr="00C14896">
              <w:rPr>
                <w:rFonts w:cstheme="minorHAnsi"/>
                <w:lang w:val="en-GB"/>
              </w:rPr>
              <w:t xml:space="preserve"> to contract value changes even though it is </w:t>
            </w:r>
            <w:r w:rsidR="002506E5" w:rsidRPr="00C14896">
              <w:rPr>
                <w:rFonts w:cstheme="minorHAnsi"/>
                <w:lang w:val="en-GB"/>
              </w:rPr>
              <w:t xml:space="preserve">matter of unforeseen circumstances. In this event, </w:t>
            </w:r>
            <w:r w:rsidR="00B44945" w:rsidRPr="00C14896">
              <w:rPr>
                <w:rFonts w:cstheme="minorHAnsi"/>
                <w:lang w:val="en-GB"/>
              </w:rPr>
              <w:t>context must be assessed and examined prior to any decisions.</w:t>
            </w:r>
            <w:r w:rsidR="00771288" w:rsidRPr="00C14896">
              <w:rPr>
                <w:rFonts w:cstheme="minorHAnsi"/>
                <w:lang w:val="en-GB"/>
              </w:rPr>
              <w:t xml:space="preserve"> If contract modification is allowed without clear justification, this may lead to ineligibility of cost. </w:t>
            </w:r>
          </w:p>
          <w:p w14:paraId="50EB5634" w14:textId="3151A7DA" w:rsidR="00D9084C" w:rsidRPr="00C14896" w:rsidRDefault="00B44945" w:rsidP="00687B48">
            <w:pPr>
              <w:spacing w:before="120" w:after="120"/>
              <w:jc w:val="both"/>
              <w:rPr>
                <w:rFonts w:cstheme="minorHAnsi"/>
                <w:lang w:val="en-GB"/>
              </w:rPr>
            </w:pPr>
            <w:r w:rsidRPr="00C14896">
              <w:rPr>
                <w:rFonts w:cstheme="minorHAnsi"/>
                <w:lang w:val="en-GB"/>
              </w:rPr>
              <w:t xml:space="preserve">Third, </w:t>
            </w:r>
            <w:r w:rsidR="00302D7D">
              <w:rPr>
                <w:rFonts w:cstheme="minorHAnsi"/>
                <w:lang w:val="en-GB"/>
              </w:rPr>
              <w:t xml:space="preserve">please note </w:t>
            </w:r>
            <w:r w:rsidR="00D91B6B">
              <w:rPr>
                <w:rFonts w:cstheme="minorHAnsi"/>
                <w:lang w:val="en-GB"/>
              </w:rPr>
              <w:t xml:space="preserve">that grant project budget (nor EU nor the grant beneficiary contribution) cannot be increased. </w:t>
            </w:r>
            <w:r w:rsidR="00D91B6B" w:rsidRPr="00C14896">
              <w:rPr>
                <w:rFonts w:cstheme="minorHAnsi"/>
                <w:lang w:val="en-GB"/>
              </w:rPr>
              <w:t xml:space="preserve"> </w:t>
            </w:r>
            <w:r w:rsidR="00D91B6B">
              <w:rPr>
                <w:rFonts w:cstheme="minorHAnsi"/>
                <w:lang w:val="en-GB"/>
              </w:rPr>
              <w:t xml:space="preserve">Therefore, </w:t>
            </w:r>
            <w:r w:rsidRPr="00C14896">
              <w:rPr>
                <w:rFonts w:cstheme="minorHAnsi"/>
                <w:lang w:val="en-GB"/>
              </w:rPr>
              <w:t xml:space="preserve">any increase of budget line (which </w:t>
            </w:r>
            <w:r w:rsidR="001B368B" w:rsidRPr="00C14896">
              <w:rPr>
                <w:rFonts w:cstheme="minorHAnsi"/>
                <w:lang w:val="en-GB"/>
              </w:rPr>
              <w:t>would</w:t>
            </w:r>
            <w:r w:rsidRPr="00C14896">
              <w:rPr>
                <w:rFonts w:cstheme="minorHAnsi"/>
                <w:lang w:val="en-GB"/>
              </w:rPr>
              <w:t xml:space="preserve"> be the case if you increase value of the contract) must be followed </w:t>
            </w:r>
            <w:r w:rsidR="008535E6" w:rsidRPr="00C14896">
              <w:rPr>
                <w:rFonts w:cstheme="minorHAnsi"/>
                <w:lang w:val="en-GB"/>
              </w:rPr>
              <w:t>by decrease of some other budget line.</w:t>
            </w:r>
            <w:r w:rsidR="00595FE2">
              <w:rPr>
                <w:rFonts w:cstheme="minorHAnsi"/>
                <w:lang w:val="en-GB"/>
              </w:rPr>
              <w:t xml:space="preserve"> </w:t>
            </w:r>
            <w:r w:rsidR="00327A0F" w:rsidRPr="00C14896">
              <w:rPr>
                <w:rFonts w:cstheme="minorHAnsi"/>
                <w:lang w:val="en-GB"/>
              </w:rPr>
              <w:t xml:space="preserve">Prior to any introduction of modification, it is </w:t>
            </w:r>
            <w:r w:rsidR="00327A0F" w:rsidRPr="00C14896">
              <w:rPr>
                <w:rFonts w:cstheme="minorHAnsi"/>
                <w:u w:val="single"/>
                <w:lang w:val="en-GB"/>
              </w:rPr>
              <w:t>strongly advised to consult CA to avoid non eligible costs</w:t>
            </w:r>
            <w:r w:rsidR="00327A0F" w:rsidRPr="00C14896">
              <w:rPr>
                <w:rFonts w:cstheme="minorHAnsi"/>
                <w:lang w:val="en-GB"/>
              </w:rPr>
              <w:t>.</w:t>
            </w:r>
          </w:p>
          <w:p w14:paraId="6807294D" w14:textId="2C0FCF84" w:rsidR="00647DB3" w:rsidRPr="00C14896" w:rsidRDefault="000C7A80" w:rsidP="00687B48">
            <w:pPr>
              <w:spacing w:before="120" w:after="120"/>
              <w:jc w:val="both"/>
              <w:rPr>
                <w:rFonts w:cstheme="minorHAnsi"/>
                <w:lang w:val="en-GB"/>
              </w:rPr>
            </w:pPr>
            <w:r w:rsidRPr="00C14896">
              <w:rPr>
                <w:rFonts w:cstheme="minorHAnsi"/>
                <w:lang w:val="en-GB"/>
              </w:rPr>
              <w:t>If such circumstance</w:t>
            </w:r>
            <w:r w:rsidR="000C0271">
              <w:rPr>
                <w:rFonts w:cstheme="minorHAnsi"/>
                <w:lang w:val="en-GB"/>
              </w:rPr>
              <w:t xml:space="preserve"> where increased market prices and </w:t>
            </w:r>
            <w:r w:rsidR="00BD00DE">
              <w:rPr>
                <w:rFonts w:cstheme="minorHAnsi"/>
                <w:lang w:val="en-GB"/>
              </w:rPr>
              <w:t xml:space="preserve">conditions </w:t>
            </w:r>
            <w:r w:rsidR="00BD00DE" w:rsidRPr="00C14896">
              <w:rPr>
                <w:rFonts w:cstheme="minorHAnsi"/>
                <w:lang w:val="en-GB"/>
              </w:rPr>
              <w:t>may</w:t>
            </w:r>
            <w:r w:rsidRPr="00C14896">
              <w:rPr>
                <w:rFonts w:cstheme="minorHAnsi"/>
                <w:lang w:val="en-GB"/>
              </w:rPr>
              <w:t xml:space="preserve"> endanger project implementation</w:t>
            </w:r>
            <w:r w:rsidR="00D9084C" w:rsidRPr="00C14896">
              <w:rPr>
                <w:rFonts w:cstheme="minorHAnsi"/>
                <w:lang w:val="en-GB"/>
              </w:rPr>
              <w:t>, clear justification and market research must be ensured and provided to CA fo</w:t>
            </w:r>
            <w:r w:rsidR="006E5C3D" w:rsidRPr="00C14896">
              <w:rPr>
                <w:rFonts w:cstheme="minorHAnsi"/>
                <w:lang w:val="en-GB"/>
              </w:rPr>
              <w:t>r</w:t>
            </w:r>
            <w:r w:rsidR="00D9084C" w:rsidRPr="00C14896">
              <w:rPr>
                <w:rFonts w:cstheme="minorHAnsi"/>
                <w:lang w:val="en-GB"/>
              </w:rPr>
              <w:t xml:space="preserve"> further consideration. </w:t>
            </w:r>
          </w:p>
        </w:tc>
      </w:tr>
      <w:tr w:rsidR="005E1D39" w14:paraId="6470A6AA" w14:textId="77777777" w:rsidTr="004A1CFE">
        <w:tc>
          <w:tcPr>
            <w:tcW w:w="562" w:type="dxa"/>
          </w:tcPr>
          <w:p w14:paraId="1CBE7EF0" w14:textId="32E66F3E" w:rsidR="005E1D39" w:rsidRDefault="005E1D39" w:rsidP="001B368B">
            <w:pPr>
              <w:spacing w:before="120"/>
              <w:rPr>
                <w:rFonts w:cstheme="minorHAnsi"/>
                <w:b/>
                <w:bCs/>
                <w:color w:val="2E74B5"/>
                <w:lang w:val="en-GB"/>
              </w:rPr>
            </w:pPr>
            <w:r>
              <w:rPr>
                <w:rFonts w:cstheme="minorHAnsi"/>
                <w:b/>
                <w:bCs/>
                <w:color w:val="2E74B5"/>
                <w:lang w:val="en-GB"/>
              </w:rPr>
              <w:t>2</w:t>
            </w:r>
          </w:p>
        </w:tc>
        <w:tc>
          <w:tcPr>
            <w:tcW w:w="3969" w:type="dxa"/>
          </w:tcPr>
          <w:p w14:paraId="28914F15" w14:textId="77777777" w:rsidR="001B368B" w:rsidRDefault="001435E9" w:rsidP="00687B48">
            <w:pPr>
              <w:spacing w:before="120" w:after="120"/>
              <w:jc w:val="both"/>
              <w:rPr>
                <w:rFonts w:cstheme="minorHAnsi"/>
                <w:lang w:val="ru-RU"/>
              </w:rPr>
            </w:pPr>
            <w:r w:rsidRPr="001435E9">
              <w:rPr>
                <w:rFonts w:cstheme="minorHAnsi"/>
                <w:lang w:val="ru-RU"/>
              </w:rPr>
              <w:t xml:space="preserve">Are taxes on office rent, renting of parking space or similar accepted? We had situations where in 2 countries different approach was used. </w:t>
            </w:r>
          </w:p>
          <w:p w14:paraId="231EFCE3" w14:textId="022D8D45" w:rsidR="005E1D39" w:rsidRPr="005E1D39" w:rsidRDefault="001B368B" w:rsidP="00687B48">
            <w:pPr>
              <w:spacing w:before="120" w:after="120"/>
              <w:jc w:val="both"/>
              <w:rPr>
                <w:rFonts w:cstheme="minorHAnsi"/>
                <w:lang w:val="en-GB"/>
              </w:rPr>
            </w:pPr>
            <w:r w:rsidRPr="001435E9">
              <w:rPr>
                <w:rFonts w:cstheme="minorHAnsi"/>
                <w:lang w:val="ru-RU"/>
              </w:rPr>
              <w:t>What about VAT in the bus tickets (of participants in events)? Is VAT eligible in this situation, because you can not intervene in advance to deduct it?</w:t>
            </w:r>
          </w:p>
        </w:tc>
        <w:tc>
          <w:tcPr>
            <w:tcW w:w="4531" w:type="dxa"/>
          </w:tcPr>
          <w:p w14:paraId="45E82694" w14:textId="39346C74" w:rsidR="003165E7" w:rsidRDefault="000E5200" w:rsidP="00F31F6A">
            <w:pPr>
              <w:spacing w:before="120" w:after="120"/>
              <w:jc w:val="both"/>
            </w:pPr>
            <w:proofErr w:type="gramStart"/>
            <w:r>
              <w:t>As a general rule</w:t>
            </w:r>
            <w:proofErr w:type="gramEnd"/>
            <w:r>
              <w:t xml:space="preserve"> beneficiaries have to apply for tax (including VAT) exemption whenever possible</w:t>
            </w:r>
            <w:r w:rsidR="0024189B">
              <w:t xml:space="preserve">. </w:t>
            </w:r>
            <w:r w:rsidR="00F31F6A" w:rsidRPr="00F31F6A">
              <w:rPr>
                <w:lang w:val="ru-RU"/>
              </w:rPr>
              <w:t>This refers to indirect taxes such as VAT and customs/import duties</w:t>
            </w:r>
            <w:r w:rsidR="0024189B">
              <w:rPr>
                <w:lang w:val="en-GB"/>
              </w:rPr>
              <w:t>,</w:t>
            </w:r>
            <w:r w:rsidR="0024189B">
              <w:t xml:space="preserve"> </w:t>
            </w:r>
            <w:r w:rsidR="0024189B" w:rsidRPr="0024189B">
              <w:rPr>
                <w:lang w:val="ru-RU"/>
              </w:rPr>
              <w:t>other fiscal charges and duties</w:t>
            </w:r>
            <w:r w:rsidR="00F31F6A" w:rsidRPr="00F31F6A">
              <w:rPr>
                <w:lang w:val="ru-RU"/>
              </w:rPr>
              <w:t xml:space="preserve"> and not to direct taxes such as the income tax of staff working on the project, which are part of the gross salary.</w:t>
            </w:r>
            <w:r w:rsidR="00F31F6A">
              <w:rPr>
                <w:lang w:val="en-GB"/>
              </w:rPr>
              <w:t xml:space="preserve"> </w:t>
            </w:r>
            <w:r w:rsidR="00F31F6A" w:rsidRPr="0024189B">
              <w:rPr>
                <w:u w:val="single"/>
              </w:rPr>
              <w:t>The rules on taxes apply to affiliated entities as well as to the beneficiaries</w:t>
            </w:r>
            <w:r w:rsidR="00F31F6A">
              <w:t>.</w:t>
            </w:r>
            <w:r w:rsidR="00F31F6A">
              <w:t xml:space="preserve"> P</w:t>
            </w:r>
            <w:r w:rsidR="00F31F6A">
              <w:t xml:space="preserve">articular attention </w:t>
            </w:r>
            <w:proofErr w:type="gramStart"/>
            <w:r w:rsidR="00F31F6A">
              <w:t>has to</w:t>
            </w:r>
            <w:proofErr w:type="gramEnd"/>
            <w:r w:rsidR="00F31F6A">
              <w:t xml:space="preserve"> be paid to understand the correct treatment of taxes</w:t>
            </w:r>
            <w:r w:rsidR="00F31F6A">
              <w:t xml:space="preserve"> for c</w:t>
            </w:r>
            <w:r w:rsidR="00F31F6A">
              <w:t xml:space="preserve">harging of VAT or taxes is </w:t>
            </w:r>
            <w:r w:rsidR="00F31F6A">
              <w:t xml:space="preserve">often reason of </w:t>
            </w:r>
            <w:r w:rsidR="00F31F6A">
              <w:t>cost ineligibility</w:t>
            </w:r>
            <w:r w:rsidR="00F31F6A">
              <w:t>.</w:t>
            </w:r>
            <w:r w:rsidR="00F31F6A">
              <w:t xml:space="preserve"> </w:t>
            </w:r>
          </w:p>
          <w:p w14:paraId="76D85638" w14:textId="04CCEDFA" w:rsidR="005E1D39" w:rsidRPr="008D1132" w:rsidRDefault="003165E7" w:rsidP="00687B48">
            <w:pPr>
              <w:spacing w:before="120" w:after="120"/>
              <w:jc w:val="both"/>
              <w:rPr>
                <w:rFonts w:cstheme="minorHAnsi"/>
                <w:lang w:val="sr-Latn-RS"/>
              </w:rPr>
            </w:pPr>
            <w:r>
              <w:t xml:space="preserve">For further </w:t>
            </w:r>
            <w:r w:rsidR="00F31F6A">
              <w:t xml:space="preserve">detail </w:t>
            </w:r>
            <w:r>
              <w:t>explanation</w:t>
            </w:r>
            <w:r w:rsidR="008D521C">
              <w:t xml:space="preserve"> please see</w:t>
            </w:r>
            <w:r w:rsidR="008D1132">
              <w:t xml:space="preserve"> </w:t>
            </w:r>
            <w:proofErr w:type="spellStart"/>
            <w:r w:rsidR="0092480E">
              <w:t>eCompanion</w:t>
            </w:r>
            <w:proofErr w:type="spellEnd"/>
            <w:r w:rsidR="0092480E">
              <w:t xml:space="preserve"> related to 14.2 Eligible direct costs point h)</w:t>
            </w:r>
            <w:r w:rsidR="00900AEC">
              <w:t xml:space="preserve"> on the </w:t>
            </w:r>
            <w:r>
              <w:t>follow</w:t>
            </w:r>
            <w:r w:rsidR="00900AEC">
              <w:t>ing</w:t>
            </w:r>
            <w:r>
              <w:t xml:space="preserve"> link: </w:t>
            </w:r>
            <w:hyperlink r:id="rId8" w:anchor="id-19.Theimplementationofgrantcontracts%E2%80%93Ausers%E2%80%99guide-19.3.1.2.Eligibledirectcosts" w:history="1">
              <w:r w:rsidR="008D1132" w:rsidRPr="008D1132">
                <w:rPr>
                  <w:color w:val="0000FF"/>
                  <w:u w:val="single"/>
                  <w:lang w:val="ru-RU"/>
                </w:rPr>
                <w:t xml:space="preserve">19. The </w:t>
              </w:r>
              <w:r w:rsidR="008D1132" w:rsidRPr="008D1132">
                <w:rPr>
                  <w:color w:val="0000FF"/>
                  <w:u w:val="single"/>
                  <w:lang w:val="ru-RU"/>
                </w:rPr>
                <w:lastRenderedPageBreak/>
                <w:t>implementation of grant contracts – A users’ guide - EXACT External Wiki - EN - EC Public Wiki (europa.eu)</w:t>
              </w:r>
            </w:hyperlink>
            <w:r w:rsidR="008D1132">
              <w:rPr>
                <w:lang w:val="sr-Latn-RS"/>
              </w:rPr>
              <w:t xml:space="preserve"> </w:t>
            </w:r>
          </w:p>
        </w:tc>
      </w:tr>
      <w:tr w:rsidR="005E1D39" w14:paraId="03E2763B" w14:textId="77777777" w:rsidTr="004A1CFE">
        <w:tc>
          <w:tcPr>
            <w:tcW w:w="562" w:type="dxa"/>
          </w:tcPr>
          <w:p w14:paraId="00A6D6FF" w14:textId="42A2F960" w:rsidR="005E1D39" w:rsidRDefault="00687B48" w:rsidP="001B368B">
            <w:pPr>
              <w:spacing w:before="120"/>
              <w:rPr>
                <w:rFonts w:cstheme="minorHAnsi"/>
                <w:b/>
                <w:bCs/>
                <w:color w:val="2E74B5"/>
                <w:lang w:val="en-GB"/>
              </w:rPr>
            </w:pPr>
            <w:r>
              <w:rPr>
                <w:rFonts w:cstheme="minorHAnsi"/>
                <w:b/>
                <w:bCs/>
                <w:color w:val="2E74B5"/>
                <w:lang w:val="en-GB"/>
              </w:rPr>
              <w:lastRenderedPageBreak/>
              <w:t>3</w:t>
            </w:r>
          </w:p>
        </w:tc>
        <w:tc>
          <w:tcPr>
            <w:tcW w:w="3969" w:type="dxa"/>
          </w:tcPr>
          <w:p w14:paraId="1C563CB3" w14:textId="7C6BB83C" w:rsidR="005E1D39" w:rsidRPr="005E1D39" w:rsidRDefault="008409AF" w:rsidP="00687B48">
            <w:pPr>
              <w:spacing w:before="120" w:after="120"/>
              <w:rPr>
                <w:rFonts w:cstheme="minorHAnsi"/>
                <w:lang w:val="en-GB"/>
              </w:rPr>
            </w:pPr>
            <w:r w:rsidRPr="008409AF">
              <w:rPr>
                <w:rFonts w:cstheme="minorHAnsi"/>
                <w:lang w:val="ru-RU"/>
              </w:rPr>
              <w:t>What if savings are made on per diems during implementation? Can they be reallocated to any other budget line and/or heading?</w:t>
            </w:r>
          </w:p>
        </w:tc>
        <w:tc>
          <w:tcPr>
            <w:tcW w:w="4531" w:type="dxa"/>
          </w:tcPr>
          <w:p w14:paraId="1BB60419" w14:textId="1548E0DF" w:rsidR="00B45A90" w:rsidRPr="003469D9" w:rsidRDefault="00A45B93" w:rsidP="00687B48">
            <w:pPr>
              <w:spacing w:before="120" w:after="120"/>
              <w:jc w:val="both"/>
              <w:rPr>
                <w:rFonts w:cstheme="minorHAnsi"/>
                <w:u w:val="single"/>
                <w:lang w:val="en-GB"/>
              </w:rPr>
            </w:pPr>
            <w:r>
              <w:rPr>
                <w:rFonts w:cstheme="minorHAnsi"/>
                <w:lang w:val="en-GB"/>
              </w:rPr>
              <w:t>Yes, savings on one budget line may be reallocated to the other</w:t>
            </w:r>
            <w:r w:rsidR="00B45A90">
              <w:rPr>
                <w:rFonts w:cstheme="minorHAnsi"/>
                <w:lang w:val="en-GB"/>
              </w:rPr>
              <w:t xml:space="preserve"> </w:t>
            </w:r>
            <w:r w:rsidR="000F52B0">
              <w:rPr>
                <w:rFonts w:cstheme="minorHAnsi"/>
                <w:lang w:val="en-GB"/>
              </w:rPr>
              <w:t xml:space="preserve">if </w:t>
            </w:r>
            <w:r w:rsidR="00BE55A3">
              <w:rPr>
                <w:rFonts w:cstheme="minorHAnsi"/>
                <w:lang w:val="en-GB"/>
              </w:rPr>
              <w:t>it is</w:t>
            </w:r>
            <w:r w:rsidR="000F52B0">
              <w:rPr>
                <w:rFonts w:cstheme="minorHAnsi"/>
                <w:lang w:val="en-GB"/>
              </w:rPr>
              <w:t xml:space="preserve"> needed for the action and </w:t>
            </w:r>
            <w:r w:rsidR="00BE55A3">
              <w:rPr>
                <w:rFonts w:cstheme="minorHAnsi"/>
                <w:lang w:val="en-GB"/>
              </w:rPr>
              <w:t xml:space="preserve">it is </w:t>
            </w:r>
            <w:r w:rsidR="000F52B0">
              <w:rPr>
                <w:rFonts w:cstheme="minorHAnsi"/>
                <w:lang w:val="en-GB"/>
              </w:rPr>
              <w:t>justifiable</w:t>
            </w:r>
            <w:r>
              <w:rPr>
                <w:rFonts w:cstheme="minorHAnsi"/>
                <w:lang w:val="en-GB"/>
              </w:rPr>
              <w:t xml:space="preserve">. </w:t>
            </w:r>
            <w:r w:rsidR="009132C8" w:rsidRPr="003469D9">
              <w:rPr>
                <w:rFonts w:cstheme="minorHAnsi"/>
                <w:u w:val="single"/>
                <w:lang w:val="en-GB"/>
              </w:rPr>
              <w:t>I</w:t>
            </w:r>
            <w:r w:rsidR="00B45A90" w:rsidRPr="003469D9">
              <w:rPr>
                <w:rFonts w:cstheme="minorHAnsi"/>
                <w:u w:val="single"/>
                <w:lang w:val="en-GB"/>
              </w:rPr>
              <w:t xml:space="preserve">n this case CA must be notified </w:t>
            </w:r>
            <w:r w:rsidR="00302995" w:rsidRPr="003469D9">
              <w:rPr>
                <w:rFonts w:cstheme="minorHAnsi"/>
                <w:u w:val="single"/>
                <w:lang w:val="en-GB"/>
              </w:rPr>
              <w:t xml:space="preserve">with justification </w:t>
            </w:r>
            <w:r w:rsidR="00B45A90" w:rsidRPr="003469D9">
              <w:rPr>
                <w:rFonts w:cstheme="minorHAnsi"/>
                <w:u w:val="single"/>
                <w:lang w:val="en-GB"/>
              </w:rPr>
              <w:t>in advance to ensure eligibility of costs</w:t>
            </w:r>
            <w:r w:rsidR="00302995" w:rsidRPr="003469D9">
              <w:rPr>
                <w:rFonts w:cstheme="minorHAnsi"/>
                <w:u w:val="single"/>
                <w:lang w:val="en-GB"/>
              </w:rPr>
              <w:t>.</w:t>
            </w:r>
          </w:p>
          <w:p w14:paraId="33634F35" w14:textId="6DE6C7A1" w:rsidR="009132C8" w:rsidRPr="005E1D39" w:rsidRDefault="009132C8" w:rsidP="00687B48">
            <w:pPr>
              <w:spacing w:before="120" w:after="120"/>
              <w:jc w:val="both"/>
              <w:rPr>
                <w:rFonts w:cstheme="minorHAnsi"/>
                <w:lang w:val="en-GB"/>
              </w:rPr>
            </w:pPr>
            <w:r>
              <w:rPr>
                <w:rFonts w:cstheme="minorHAnsi"/>
                <w:lang w:val="en-GB"/>
              </w:rPr>
              <w:t xml:space="preserve">Please </w:t>
            </w:r>
            <w:r w:rsidR="00A72F21">
              <w:rPr>
                <w:rFonts w:cstheme="minorHAnsi"/>
                <w:lang w:val="en-GB"/>
              </w:rPr>
              <w:t>consult Article</w:t>
            </w:r>
            <w:r w:rsidR="00234A26">
              <w:rPr>
                <w:rFonts w:cstheme="minorHAnsi"/>
                <w:lang w:val="en-GB"/>
              </w:rPr>
              <w:t xml:space="preserve"> 9</w:t>
            </w:r>
            <w:r w:rsidR="00A72F21">
              <w:rPr>
                <w:rFonts w:cstheme="minorHAnsi"/>
                <w:lang w:val="en-GB"/>
              </w:rPr>
              <w:t xml:space="preserve"> of General conditions related to </w:t>
            </w:r>
            <w:r w:rsidR="00234A26">
              <w:rPr>
                <w:rFonts w:cstheme="minorHAnsi"/>
                <w:lang w:val="en-GB"/>
              </w:rPr>
              <w:t xml:space="preserve">amendment of the contract and </w:t>
            </w:r>
            <w:r w:rsidR="003469D9">
              <w:rPr>
                <w:rFonts w:cstheme="minorHAnsi"/>
                <w:lang w:val="en-GB"/>
              </w:rPr>
              <w:t xml:space="preserve">for further explanation </w:t>
            </w:r>
            <w:proofErr w:type="spellStart"/>
            <w:r w:rsidR="00274EE1">
              <w:t>eCompanion</w:t>
            </w:r>
            <w:proofErr w:type="spellEnd"/>
            <w:r w:rsidR="00274EE1">
              <w:rPr>
                <w:rFonts w:cstheme="minorHAnsi"/>
                <w:lang w:val="en-GB"/>
              </w:rPr>
              <w:t xml:space="preserve"> on the following link:</w:t>
            </w:r>
            <w:r w:rsidR="00A72F21">
              <w:rPr>
                <w:rFonts w:cstheme="minorHAnsi"/>
                <w:lang w:val="en-GB"/>
              </w:rPr>
              <w:t xml:space="preserve"> </w:t>
            </w:r>
            <w:hyperlink r:id="rId9" w:anchor="id-19.Theimplementationofgrantcontracts%E2%80%93Ausers%E2%80%99guide-19.2.9.Article9-Amendmentofthecontract" w:history="1">
              <w:r w:rsidR="00234A26" w:rsidRPr="00234A26">
                <w:rPr>
                  <w:color w:val="0000FF"/>
                  <w:u w:val="single"/>
                  <w:lang w:val="ru-RU"/>
                </w:rPr>
                <w:t>19. The implementation of grant contracts – A users’ guide - EXACT External Wiki - EN - EC Public Wiki (europa.eu)</w:t>
              </w:r>
            </w:hyperlink>
          </w:p>
        </w:tc>
      </w:tr>
      <w:tr w:rsidR="005E1D39" w14:paraId="0F978CC8" w14:textId="77777777" w:rsidTr="004A1CFE">
        <w:tc>
          <w:tcPr>
            <w:tcW w:w="562" w:type="dxa"/>
          </w:tcPr>
          <w:p w14:paraId="2E737E16" w14:textId="0145B1B8" w:rsidR="005E1D39" w:rsidRDefault="00687B48" w:rsidP="001B368B">
            <w:pPr>
              <w:spacing w:before="120"/>
              <w:rPr>
                <w:rFonts w:cstheme="minorHAnsi"/>
                <w:b/>
                <w:bCs/>
                <w:color w:val="2E74B5"/>
                <w:lang w:val="en-GB"/>
              </w:rPr>
            </w:pPr>
            <w:r>
              <w:rPr>
                <w:rFonts w:cstheme="minorHAnsi"/>
                <w:b/>
                <w:bCs/>
                <w:color w:val="2E74B5"/>
                <w:lang w:val="en-GB"/>
              </w:rPr>
              <w:t>4</w:t>
            </w:r>
          </w:p>
        </w:tc>
        <w:tc>
          <w:tcPr>
            <w:tcW w:w="3969" w:type="dxa"/>
          </w:tcPr>
          <w:p w14:paraId="05EE631C" w14:textId="108BB08B" w:rsidR="00BC6C15" w:rsidRDefault="008409AF" w:rsidP="00687B48">
            <w:pPr>
              <w:spacing w:before="120" w:after="120"/>
              <w:jc w:val="both"/>
              <w:rPr>
                <w:rFonts w:cstheme="minorHAnsi"/>
                <w:lang w:val="ru-RU"/>
              </w:rPr>
            </w:pPr>
            <w:r w:rsidRPr="008409AF">
              <w:rPr>
                <w:rFonts w:cstheme="minorHAnsi"/>
                <w:lang w:val="ru-RU"/>
              </w:rPr>
              <w:t>How the VAT incured in EU countries is treated?</w:t>
            </w:r>
            <w:r w:rsidR="008D521C">
              <w:rPr>
                <w:rFonts w:cstheme="minorHAnsi"/>
                <w:lang w:val="en-GB"/>
              </w:rPr>
              <w:t xml:space="preserve"> </w:t>
            </w:r>
            <w:r w:rsidRPr="008409AF">
              <w:rPr>
                <w:rFonts w:cstheme="minorHAnsi"/>
                <w:lang w:val="ru-RU"/>
              </w:rPr>
              <w:t>We have a regional project where one of the partners comes from Slovenia which is an EU country. According to local legislation there is no option for them to recover the VAT so the question is what they should submit as a proof that the VAT cannot be reclaimed. Is any such proof necessary for the beneficiaries from EU countries?</w:t>
            </w:r>
          </w:p>
          <w:p w14:paraId="21DE5DF9" w14:textId="09E55896" w:rsidR="005E1D39" w:rsidRPr="005E1D39" w:rsidRDefault="008409AF" w:rsidP="00687B48">
            <w:pPr>
              <w:spacing w:before="120" w:after="120"/>
              <w:jc w:val="both"/>
              <w:rPr>
                <w:rFonts w:cstheme="minorHAnsi"/>
                <w:lang w:val="en-GB"/>
              </w:rPr>
            </w:pPr>
            <w:r w:rsidRPr="008409AF">
              <w:rPr>
                <w:rFonts w:cstheme="minorHAnsi"/>
                <w:lang w:val="ru-RU"/>
              </w:rPr>
              <w:t>Another case is when the beneficiary incures the costs in some other countries (for example cost for accomodation, during the travel). Will that VAT be eligible cost, as there is no option to recover that VAT? Is any proof that the VAT cannot be reclaimed necessary in this case?</w:t>
            </w:r>
          </w:p>
        </w:tc>
        <w:tc>
          <w:tcPr>
            <w:tcW w:w="4531" w:type="dxa"/>
          </w:tcPr>
          <w:p w14:paraId="40454235" w14:textId="638B7E6B" w:rsidR="005E1D39" w:rsidRDefault="0024189B" w:rsidP="0024189B">
            <w:pPr>
              <w:spacing w:before="120" w:after="120"/>
              <w:jc w:val="both"/>
              <w:rPr>
                <w:lang w:val="ru-RU"/>
              </w:rPr>
            </w:pPr>
            <w:r>
              <w:rPr>
                <w:lang w:val="en-GB"/>
              </w:rPr>
              <w:t xml:space="preserve">Please see detail explanation in </w:t>
            </w:r>
            <w:r w:rsidRPr="0024189B">
              <w:rPr>
                <w:b/>
                <w:bCs/>
                <w:lang w:val="en-GB"/>
              </w:rPr>
              <w:t>PRAG</w:t>
            </w:r>
            <w:r w:rsidRPr="0024189B">
              <w:rPr>
                <w:b/>
                <w:bCs/>
                <w:lang w:val="ru-RU"/>
              </w:rPr>
              <w:t xml:space="preserve"> Annex J</w:t>
            </w:r>
            <w:r w:rsidRPr="0024189B">
              <w:rPr>
                <w:b/>
                <w:bCs/>
                <w:lang w:val="en-GB"/>
              </w:rPr>
              <w:t xml:space="preserve"> - </w:t>
            </w:r>
            <w:r w:rsidRPr="0024189B">
              <w:rPr>
                <w:b/>
                <w:bCs/>
                <w:lang w:val="ru-RU"/>
              </w:rPr>
              <w:t xml:space="preserve">e3a1 </w:t>
            </w:r>
            <w:r w:rsidRPr="0024189B">
              <w:rPr>
                <w:b/>
                <w:bCs/>
                <w:lang w:val="en-GB"/>
              </w:rPr>
              <w:t>“</w:t>
            </w:r>
            <w:r w:rsidRPr="0024189B">
              <w:rPr>
                <w:b/>
                <w:bCs/>
                <w:i/>
                <w:iCs/>
                <w:lang w:val="ru-RU"/>
              </w:rPr>
              <w:t>Information on the tax regime applicable to grant contracts</w:t>
            </w:r>
            <w:r w:rsidRPr="0024189B">
              <w:rPr>
                <w:b/>
                <w:bCs/>
                <w:lang w:val="en-GB"/>
              </w:rPr>
              <w:t>”</w:t>
            </w:r>
            <w:r w:rsidRPr="0024189B">
              <w:rPr>
                <w:lang w:val="ru-RU"/>
              </w:rPr>
              <w:t xml:space="preserve"> for guidelines on the evidence that the beneficiaries and affiliated entities are not tax-exempt and cannot recover taxes. </w:t>
            </w:r>
            <w:r>
              <w:rPr>
                <w:lang w:val="en-GB"/>
              </w:rPr>
              <w:t>A</w:t>
            </w:r>
            <w:r w:rsidRPr="0024189B">
              <w:rPr>
                <w:lang w:val="ru-RU"/>
              </w:rPr>
              <w:t xml:space="preserve">nnex J </w:t>
            </w:r>
            <w:r>
              <w:rPr>
                <w:lang w:val="en-GB"/>
              </w:rPr>
              <w:t xml:space="preserve">also </w:t>
            </w:r>
            <w:r w:rsidRPr="0024189B">
              <w:rPr>
                <w:lang w:val="ru-RU"/>
              </w:rPr>
              <w:t xml:space="preserve">sets out clearly situations in which beneficiaries may report taxes as project expenditure but do not need to prove that they cannot get tax exemption or recover the taxes. </w:t>
            </w:r>
            <w:r>
              <w:rPr>
                <w:lang w:val="ru-RU"/>
              </w:rPr>
              <w:t xml:space="preserve">Nevertheless, </w:t>
            </w:r>
            <w:proofErr w:type="spellStart"/>
            <w:r>
              <w:rPr>
                <w:lang w:val="en-GB"/>
              </w:rPr>
              <w:t>i</w:t>
            </w:r>
            <w:proofErr w:type="spellEnd"/>
            <w:r w:rsidRPr="0024189B">
              <w:rPr>
                <w:lang w:val="ru-RU"/>
              </w:rPr>
              <w:t xml:space="preserve">t is advisable to seek the advice of the </w:t>
            </w:r>
            <w:r>
              <w:rPr>
                <w:lang w:val="ru-RU"/>
              </w:rPr>
              <w:t>CA</w:t>
            </w:r>
            <w:r w:rsidRPr="0024189B">
              <w:rPr>
                <w:lang w:val="ru-RU"/>
              </w:rPr>
              <w:t xml:space="preserve"> if unsure whether a particular situation of exemption applies to a specific action. </w:t>
            </w:r>
            <w:r w:rsidR="0094264B">
              <w:rPr>
                <w:lang w:val="en-GB"/>
              </w:rPr>
              <w:t xml:space="preserve">Annex J you can  find on the </w:t>
            </w:r>
            <w:r>
              <w:rPr>
                <w:lang w:val="en-GB"/>
              </w:rPr>
              <w:t xml:space="preserve">follow the link: </w:t>
            </w:r>
            <w:hyperlink r:id="rId10" w:history="1">
              <w:r w:rsidRPr="0024189B">
                <w:rPr>
                  <w:color w:val="0000FF"/>
                  <w:u w:val="single"/>
                  <w:lang w:val="ru-RU"/>
                </w:rPr>
                <w:t>e3a1_guidelines_an</w:t>
              </w:r>
              <w:r w:rsidRPr="0024189B">
                <w:rPr>
                  <w:color w:val="0000FF"/>
                  <w:u w:val="single"/>
                  <w:lang w:val="ru-RU"/>
                </w:rPr>
                <w:t>n</w:t>
              </w:r>
              <w:r w:rsidRPr="0024189B">
                <w:rPr>
                  <w:color w:val="0000FF"/>
                  <w:u w:val="single"/>
                  <w:lang w:val="ru-RU"/>
                </w:rPr>
                <w:t>exJ_en.doc (live.com)</w:t>
              </w:r>
            </w:hyperlink>
          </w:p>
          <w:p w14:paraId="6AC7D732" w14:textId="6284806A" w:rsidR="0024189B" w:rsidRPr="0024189B" w:rsidRDefault="0024189B" w:rsidP="0024189B">
            <w:pPr>
              <w:spacing w:before="120" w:after="120"/>
              <w:jc w:val="both"/>
              <w:rPr>
                <w:rFonts w:cstheme="minorHAnsi"/>
                <w:lang w:val="en-GB"/>
              </w:rPr>
            </w:pPr>
            <w:r>
              <w:rPr>
                <w:rFonts w:cstheme="minorHAnsi"/>
                <w:lang w:val="en-GB"/>
              </w:rPr>
              <w:t>Also</w:t>
            </w:r>
            <w:r w:rsidR="0094264B">
              <w:rPr>
                <w:rFonts w:cstheme="minorHAnsi"/>
                <w:lang w:val="en-GB"/>
              </w:rPr>
              <w:t>, you can</w:t>
            </w:r>
            <w:r>
              <w:rPr>
                <w:rFonts w:cstheme="minorHAnsi"/>
                <w:lang w:val="en-GB"/>
              </w:rPr>
              <w:t xml:space="preserve"> </w:t>
            </w:r>
            <w:r w:rsidR="0094264B">
              <w:rPr>
                <w:rFonts w:cstheme="minorHAnsi"/>
                <w:lang w:val="en-GB"/>
              </w:rPr>
              <w:t xml:space="preserve">consult </w:t>
            </w:r>
            <w:proofErr w:type="spellStart"/>
            <w:r>
              <w:rPr>
                <w:rFonts w:cstheme="minorHAnsi"/>
                <w:lang w:val="en-GB"/>
              </w:rPr>
              <w:t>eCompanion</w:t>
            </w:r>
            <w:proofErr w:type="spellEnd"/>
            <w:r>
              <w:rPr>
                <w:rFonts w:cstheme="minorHAnsi"/>
                <w:lang w:val="en-GB"/>
              </w:rPr>
              <w:t xml:space="preserve"> </w:t>
            </w:r>
            <w:r w:rsidR="0094264B">
              <w:rPr>
                <w:rFonts w:cstheme="minorHAnsi"/>
                <w:lang w:val="en-GB"/>
              </w:rPr>
              <w:t xml:space="preserve">regarding VAT issue on the </w:t>
            </w:r>
            <w:r>
              <w:rPr>
                <w:rFonts w:cstheme="minorHAnsi"/>
                <w:lang w:val="en-GB"/>
              </w:rPr>
              <w:t xml:space="preserve">following link: </w:t>
            </w:r>
            <w:hyperlink r:id="rId11" w:history="1">
              <w:r w:rsidR="0094264B" w:rsidRPr="0094264B">
                <w:rPr>
                  <w:color w:val="0000FF"/>
                  <w:u w:val="single"/>
                  <w:lang w:val="ru-RU"/>
                </w:rPr>
                <w:t>eCompanion-en-14.0.pdf</w:t>
              </w:r>
            </w:hyperlink>
          </w:p>
        </w:tc>
      </w:tr>
      <w:tr w:rsidR="005E1D39" w14:paraId="28A07244" w14:textId="77777777" w:rsidTr="004A1CFE">
        <w:tc>
          <w:tcPr>
            <w:tcW w:w="562" w:type="dxa"/>
          </w:tcPr>
          <w:p w14:paraId="51C6C04F" w14:textId="5D35B7A3" w:rsidR="005E1D39" w:rsidRDefault="00687B48" w:rsidP="001B368B">
            <w:pPr>
              <w:spacing w:before="120"/>
              <w:rPr>
                <w:rFonts w:cstheme="minorHAnsi"/>
                <w:b/>
                <w:bCs/>
                <w:color w:val="2E74B5"/>
                <w:lang w:val="en-GB"/>
              </w:rPr>
            </w:pPr>
            <w:r>
              <w:rPr>
                <w:rFonts w:cstheme="minorHAnsi"/>
                <w:b/>
                <w:bCs/>
                <w:color w:val="2E74B5"/>
                <w:lang w:val="en-GB"/>
              </w:rPr>
              <w:t>5</w:t>
            </w:r>
          </w:p>
        </w:tc>
        <w:tc>
          <w:tcPr>
            <w:tcW w:w="3969" w:type="dxa"/>
          </w:tcPr>
          <w:p w14:paraId="4400929F" w14:textId="23168FF2" w:rsidR="005E1D39" w:rsidRPr="005E1D39" w:rsidRDefault="00937850" w:rsidP="00687B48">
            <w:pPr>
              <w:spacing w:before="120" w:after="120"/>
              <w:jc w:val="both"/>
              <w:rPr>
                <w:rFonts w:cstheme="minorHAnsi"/>
                <w:lang w:val="en-GB"/>
              </w:rPr>
            </w:pPr>
            <w:r w:rsidRPr="00937850">
              <w:rPr>
                <w:rFonts w:cstheme="minorHAnsi"/>
                <w:lang w:val="ru-RU"/>
              </w:rPr>
              <w:t xml:space="preserve">A question regarding the time sheet for the project staff: if I am engaged for 50% of time, what should I write in the time sheet? Do I put 4 work hours per day, which is already 50% of time and then get paid based on that, or do I put 8 hours per day which then will be calculated (and paid) at 50%? Because there was a case where the CA revision stated that the time sheet prepared with 4 hours per day shall be accepted only at 50% rate - she basically cut in half the time stated in the time sheet (which we already did when writing 4 hours per day). Any advice? There are no specific instructions on this, </w:t>
            </w:r>
            <w:r w:rsidRPr="00937850">
              <w:rPr>
                <w:rFonts w:cstheme="minorHAnsi"/>
                <w:lang w:val="ru-RU"/>
              </w:rPr>
              <w:lastRenderedPageBreak/>
              <w:t xml:space="preserve">and it would be very useful to have a precise template. </w:t>
            </w:r>
          </w:p>
        </w:tc>
        <w:tc>
          <w:tcPr>
            <w:tcW w:w="4531" w:type="dxa"/>
          </w:tcPr>
          <w:p w14:paraId="76495EAD" w14:textId="77777777" w:rsidR="00BE5A70" w:rsidRPr="008D521C" w:rsidRDefault="0023126A" w:rsidP="00687B48">
            <w:pPr>
              <w:spacing w:before="120" w:after="120"/>
              <w:jc w:val="both"/>
              <w:rPr>
                <w:rFonts w:cstheme="minorHAnsi"/>
                <w:lang w:val="en-GB"/>
              </w:rPr>
            </w:pPr>
            <w:r>
              <w:rPr>
                <w:rFonts w:cstheme="minorHAnsi"/>
                <w:lang w:val="en-GB"/>
              </w:rPr>
              <w:lastRenderedPageBreak/>
              <w:t xml:space="preserve">Timesheet should be filled in with the time spend </w:t>
            </w:r>
            <w:r w:rsidR="000A1CDB">
              <w:rPr>
                <w:rFonts w:cstheme="minorHAnsi"/>
                <w:lang w:val="en-GB"/>
              </w:rPr>
              <w:t>on project activities</w:t>
            </w:r>
            <w:r w:rsidR="00C145E7">
              <w:rPr>
                <w:rFonts w:cstheme="minorHAnsi"/>
                <w:lang w:val="en-GB"/>
              </w:rPr>
              <w:t xml:space="preserve"> in line with the percentage indicated in the </w:t>
            </w:r>
            <w:r w:rsidR="0058411B">
              <w:rPr>
                <w:rFonts w:cstheme="minorHAnsi"/>
                <w:lang w:val="en-GB"/>
              </w:rPr>
              <w:t xml:space="preserve">Decision on project team establishment and/or </w:t>
            </w:r>
            <w:r w:rsidR="00C145E7">
              <w:rPr>
                <w:rFonts w:cstheme="minorHAnsi"/>
                <w:lang w:val="en-GB"/>
              </w:rPr>
              <w:t xml:space="preserve">budget. </w:t>
            </w:r>
            <w:r w:rsidR="000A1CDB">
              <w:rPr>
                <w:rFonts w:cstheme="minorHAnsi"/>
                <w:lang w:val="en-GB"/>
              </w:rPr>
              <w:t xml:space="preserve"> Namely, if it is </w:t>
            </w:r>
            <w:r w:rsidR="005B6D3D">
              <w:rPr>
                <w:rFonts w:cstheme="minorHAnsi"/>
                <w:lang w:val="en-GB"/>
              </w:rPr>
              <w:t xml:space="preserve">50% of working time, you are filling in working </w:t>
            </w:r>
            <w:r w:rsidR="005B6D3D" w:rsidRPr="008D521C">
              <w:rPr>
                <w:rFonts w:cstheme="minorHAnsi"/>
                <w:lang w:val="en-GB"/>
              </w:rPr>
              <w:t>hours in a timesheet in line with th</w:t>
            </w:r>
            <w:r w:rsidR="00AB6D73" w:rsidRPr="008D521C">
              <w:rPr>
                <w:rFonts w:cstheme="minorHAnsi"/>
                <w:lang w:val="en-GB"/>
              </w:rPr>
              <w:t>at percentage.</w:t>
            </w:r>
          </w:p>
          <w:p w14:paraId="6505BFEA" w14:textId="68B123D9" w:rsidR="005E1D39" w:rsidRPr="005E1D39" w:rsidRDefault="00BE5A70" w:rsidP="00687B48">
            <w:pPr>
              <w:spacing w:before="120" w:after="120"/>
              <w:jc w:val="both"/>
              <w:rPr>
                <w:rFonts w:cstheme="minorHAnsi"/>
                <w:lang w:val="en-GB"/>
              </w:rPr>
            </w:pPr>
            <w:r w:rsidRPr="008D521C">
              <w:rPr>
                <w:rFonts w:cstheme="minorHAnsi"/>
                <w:lang w:val="en-GB"/>
              </w:rPr>
              <w:t xml:space="preserve">However, please note that sometimes your working time </w:t>
            </w:r>
            <w:r w:rsidR="005F7850" w:rsidRPr="008D521C">
              <w:rPr>
                <w:rFonts w:cstheme="minorHAnsi"/>
                <w:lang w:val="en-GB"/>
              </w:rPr>
              <w:t xml:space="preserve">may differ from month to month depending on workflow and project dynamics, but </w:t>
            </w:r>
            <w:r w:rsidR="00460247" w:rsidRPr="008D521C">
              <w:rPr>
                <w:rFonts w:cstheme="minorHAnsi"/>
                <w:lang w:val="en-GB"/>
              </w:rPr>
              <w:t xml:space="preserve">what is important is that until the end of project implementation (final report) </w:t>
            </w:r>
            <w:r w:rsidR="00A9703B">
              <w:rPr>
                <w:rFonts w:cstheme="minorHAnsi"/>
                <w:lang w:val="en-GB"/>
              </w:rPr>
              <w:t xml:space="preserve">budgeted funds for the </w:t>
            </w:r>
            <w:r w:rsidR="008D521C">
              <w:rPr>
                <w:rFonts w:cstheme="minorHAnsi"/>
                <w:lang w:val="en-GB"/>
              </w:rPr>
              <w:t xml:space="preserve">salaries </w:t>
            </w:r>
            <w:r w:rsidR="00A9703B">
              <w:rPr>
                <w:rFonts w:cstheme="minorHAnsi"/>
                <w:lang w:val="en-GB"/>
              </w:rPr>
              <w:t xml:space="preserve">are not increased </w:t>
            </w:r>
            <w:r w:rsidR="00B928B3" w:rsidRPr="008D521C">
              <w:rPr>
                <w:rFonts w:cstheme="minorHAnsi"/>
                <w:lang w:val="en-GB"/>
              </w:rPr>
              <w:t xml:space="preserve">under </w:t>
            </w:r>
            <w:r w:rsidR="00460247" w:rsidRPr="008D521C">
              <w:rPr>
                <w:rFonts w:cstheme="minorHAnsi"/>
                <w:lang w:val="en-GB"/>
              </w:rPr>
              <w:t xml:space="preserve">relevant </w:t>
            </w:r>
            <w:r w:rsidR="00F07E69" w:rsidRPr="008D521C">
              <w:rPr>
                <w:rFonts w:cstheme="minorHAnsi"/>
                <w:lang w:val="en-GB"/>
              </w:rPr>
              <w:t>budget</w:t>
            </w:r>
            <w:r w:rsidR="00460247" w:rsidRPr="008D521C">
              <w:rPr>
                <w:rFonts w:cstheme="minorHAnsi"/>
                <w:lang w:val="en-GB"/>
              </w:rPr>
              <w:t xml:space="preserve"> line</w:t>
            </w:r>
            <w:r w:rsidR="00B928B3" w:rsidRPr="008D521C">
              <w:rPr>
                <w:rFonts w:cstheme="minorHAnsi"/>
                <w:lang w:val="en-GB"/>
              </w:rPr>
              <w:t>.</w:t>
            </w:r>
          </w:p>
        </w:tc>
      </w:tr>
      <w:tr w:rsidR="005E1D39" w14:paraId="76DB8B61" w14:textId="77777777" w:rsidTr="004A1CFE">
        <w:tc>
          <w:tcPr>
            <w:tcW w:w="562" w:type="dxa"/>
          </w:tcPr>
          <w:p w14:paraId="3D863490" w14:textId="70D2D263" w:rsidR="005E1D39" w:rsidRDefault="00687B48" w:rsidP="001B368B">
            <w:pPr>
              <w:spacing w:before="120"/>
              <w:rPr>
                <w:rFonts w:cstheme="minorHAnsi"/>
                <w:b/>
                <w:bCs/>
                <w:color w:val="2E74B5"/>
                <w:lang w:val="en-GB"/>
              </w:rPr>
            </w:pPr>
            <w:r>
              <w:rPr>
                <w:rFonts w:cstheme="minorHAnsi"/>
                <w:b/>
                <w:bCs/>
                <w:color w:val="2E74B5"/>
                <w:lang w:val="en-GB"/>
              </w:rPr>
              <w:lastRenderedPageBreak/>
              <w:t>6</w:t>
            </w:r>
          </w:p>
        </w:tc>
        <w:tc>
          <w:tcPr>
            <w:tcW w:w="3969" w:type="dxa"/>
          </w:tcPr>
          <w:p w14:paraId="2E4C50A7" w14:textId="17845D50" w:rsidR="005E1D39" w:rsidRPr="005E1D39" w:rsidRDefault="00D2168D" w:rsidP="00687B48">
            <w:pPr>
              <w:spacing w:before="120" w:after="120"/>
              <w:jc w:val="both"/>
              <w:rPr>
                <w:rFonts w:cstheme="minorHAnsi"/>
                <w:lang w:val="en-GB"/>
              </w:rPr>
            </w:pPr>
            <w:r w:rsidRPr="00D2168D">
              <w:rPr>
                <w:rFonts w:cstheme="minorHAnsi"/>
                <w:lang w:val="ru-RU"/>
              </w:rPr>
              <w:t xml:space="preserve">Do all the rules for financial reporting also apply to the sub grants given to third parties? For example do sub grantees need to provide the supporting documentation for the indirect costs they have incured (budgeted in sub grant budget under 8.indirect costs at a flat rate of 7%) . </w:t>
            </w:r>
          </w:p>
        </w:tc>
        <w:tc>
          <w:tcPr>
            <w:tcW w:w="4531" w:type="dxa"/>
          </w:tcPr>
          <w:p w14:paraId="40BEE81E" w14:textId="35084762" w:rsidR="005E1D39" w:rsidRPr="005E1D39" w:rsidRDefault="001E4263" w:rsidP="006715A8">
            <w:pPr>
              <w:spacing w:before="120" w:after="120"/>
              <w:jc w:val="both"/>
              <w:rPr>
                <w:rFonts w:cstheme="minorHAnsi"/>
                <w:lang w:val="en-GB"/>
              </w:rPr>
            </w:pPr>
            <w:r>
              <w:rPr>
                <w:rFonts w:cstheme="minorHAnsi"/>
                <w:lang w:val="en-GB"/>
              </w:rPr>
              <w:t>In principle, g</w:t>
            </w:r>
            <w:r w:rsidR="007F1D32">
              <w:rPr>
                <w:rFonts w:cstheme="minorHAnsi"/>
                <w:lang w:val="en-GB"/>
              </w:rPr>
              <w:t xml:space="preserve">eneral conditions are applied to all </w:t>
            </w:r>
            <w:r w:rsidR="00C46567">
              <w:rPr>
                <w:rFonts w:cstheme="minorHAnsi"/>
                <w:lang w:val="en-GB"/>
              </w:rPr>
              <w:t xml:space="preserve">involved parties </w:t>
            </w:r>
            <w:r w:rsidR="00A739E8">
              <w:rPr>
                <w:rFonts w:cstheme="minorHAnsi"/>
                <w:lang w:val="en-GB"/>
              </w:rPr>
              <w:t xml:space="preserve">and costs necessary for the </w:t>
            </w:r>
            <w:r w:rsidR="00C46567">
              <w:rPr>
                <w:rFonts w:cstheme="minorHAnsi"/>
                <w:lang w:val="en-GB"/>
              </w:rPr>
              <w:t>implementation of the Action</w:t>
            </w:r>
            <w:r w:rsidR="00A739E8">
              <w:rPr>
                <w:rFonts w:cstheme="minorHAnsi"/>
                <w:lang w:val="en-GB"/>
              </w:rPr>
              <w:t xml:space="preserve">. </w:t>
            </w:r>
            <w:r>
              <w:rPr>
                <w:rFonts w:cstheme="minorHAnsi"/>
                <w:lang w:val="en-GB"/>
              </w:rPr>
              <w:t xml:space="preserve">Therefore, </w:t>
            </w:r>
            <w:r w:rsidR="00E936F3">
              <w:rPr>
                <w:rFonts w:cstheme="minorHAnsi"/>
                <w:lang w:val="en-GB"/>
              </w:rPr>
              <w:t xml:space="preserve">same rules </w:t>
            </w:r>
            <w:r w:rsidR="00470D5D">
              <w:rPr>
                <w:rFonts w:cstheme="minorHAnsi"/>
                <w:lang w:val="en-GB"/>
              </w:rPr>
              <w:t>might</w:t>
            </w:r>
            <w:r w:rsidR="003E359F">
              <w:rPr>
                <w:rFonts w:cstheme="minorHAnsi"/>
                <w:lang w:val="en-GB"/>
              </w:rPr>
              <w:t xml:space="preserve"> be applied</w:t>
            </w:r>
            <w:r>
              <w:rPr>
                <w:rFonts w:cstheme="minorHAnsi"/>
                <w:lang w:val="en-GB"/>
              </w:rPr>
              <w:t xml:space="preserve"> for FSTP</w:t>
            </w:r>
            <w:r w:rsidR="008F781B">
              <w:rPr>
                <w:rFonts w:cstheme="minorHAnsi"/>
                <w:lang w:val="en-GB"/>
              </w:rPr>
              <w:t xml:space="preserve">. </w:t>
            </w:r>
            <w:r w:rsidR="006715A8">
              <w:rPr>
                <w:rFonts w:cstheme="minorHAnsi"/>
                <w:lang w:val="en-GB"/>
              </w:rPr>
              <w:t>In addition, p</w:t>
            </w:r>
            <w:r w:rsidR="00470D5D">
              <w:rPr>
                <w:rFonts w:cstheme="minorHAnsi"/>
                <w:lang w:val="en-GB"/>
              </w:rPr>
              <w:t xml:space="preserve">lease consult instructions in the </w:t>
            </w:r>
            <w:proofErr w:type="spellStart"/>
            <w:r w:rsidR="00470D5D">
              <w:rPr>
                <w:rFonts w:cstheme="minorHAnsi"/>
                <w:lang w:val="en-GB"/>
              </w:rPr>
              <w:t>GfA</w:t>
            </w:r>
            <w:proofErr w:type="spellEnd"/>
            <w:r w:rsidR="00470D5D">
              <w:rPr>
                <w:rFonts w:cstheme="minorHAnsi"/>
                <w:lang w:val="en-GB"/>
              </w:rPr>
              <w:t xml:space="preserve"> for FS</w:t>
            </w:r>
            <w:r w:rsidR="00F71FE6">
              <w:rPr>
                <w:rFonts w:cstheme="minorHAnsi"/>
                <w:lang w:val="en-GB"/>
              </w:rPr>
              <w:t xml:space="preserve">TP and contracts concluded with third party </w:t>
            </w:r>
            <w:r w:rsidR="00A94075">
              <w:rPr>
                <w:rFonts w:cstheme="minorHAnsi"/>
                <w:lang w:val="en-GB"/>
              </w:rPr>
              <w:t xml:space="preserve">to draw </w:t>
            </w:r>
            <w:proofErr w:type="gramStart"/>
            <w:r w:rsidR="00F71FE6">
              <w:rPr>
                <w:rFonts w:cstheme="minorHAnsi"/>
                <w:lang w:val="en-GB"/>
              </w:rPr>
              <w:t>final conclusion</w:t>
            </w:r>
            <w:proofErr w:type="gramEnd"/>
            <w:r w:rsidR="00F71FE6">
              <w:rPr>
                <w:rFonts w:cstheme="minorHAnsi"/>
                <w:lang w:val="en-GB"/>
              </w:rPr>
              <w:t xml:space="preserve"> on </w:t>
            </w:r>
            <w:r w:rsidR="006715A8">
              <w:rPr>
                <w:rFonts w:cstheme="minorHAnsi"/>
                <w:lang w:val="en-GB"/>
              </w:rPr>
              <w:t xml:space="preserve">the </w:t>
            </w:r>
            <w:r w:rsidR="00F71FE6">
              <w:rPr>
                <w:rFonts w:cstheme="minorHAnsi"/>
                <w:lang w:val="en-GB"/>
              </w:rPr>
              <w:t xml:space="preserve">eligibility of costs. </w:t>
            </w:r>
          </w:p>
        </w:tc>
      </w:tr>
      <w:tr w:rsidR="00D2168D" w14:paraId="0E6626C8" w14:textId="77777777" w:rsidTr="004A1CFE">
        <w:tc>
          <w:tcPr>
            <w:tcW w:w="562" w:type="dxa"/>
          </w:tcPr>
          <w:p w14:paraId="61E92CF8" w14:textId="62DE0890" w:rsidR="00D2168D" w:rsidRDefault="00687B48" w:rsidP="001B368B">
            <w:pPr>
              <w:spacing w:before="120"/>
              <w:rPr>
                <w:rFonts w:cstheme="minorHAnsi"/>
                <w:b/>
                <w:bCs/>
                <w:color w:val="2E74B5"/>
                <w:lang w:val="en-GB"/>
              </w:rPr>
            </w:pPr>
            <w:r>
              <w:rPr>
                <w:rFonts w:cstheme="minorHAnsi"/>
                <w:b/>
                <w:bCs/>
                <w:color w:val="2E74B5"/>
                <w:lang w:val="en-GB"/>
              </w:rPr>
              <w:t>7</w:t>
            </w:r>
          </w:p>
        </w:tc>
        <w:tc>
          <w:tcPr>
            <w:tcW w:w="3969" w:type="dxa"/>
          </w:tcPr>
          <w:p w14:paraId="496F2206" w14:textId="25C9A588" w:rsidR="00D2168D" w:rsidRPr="00D2168D" w:rsidRDefault="00FB02DB" w:rsidP="00687B48">
            <w:pPr>
              <w:spacing w:before="120" w:after="120"/>
              <w:rPr>
                <w:rFonts w:cstheme="minorHAnsi"/>
              </w:rPr>
            </w:pPr>
            <w:r w:rsidRPr="00FB02DB">
              <w:rPr>
                <w:rFonts w:cstheme="minorHAnsi"/>
                <w:lang w:val="ru-RU"/>
              </w:rPr>
              <w:t>If you conduct baseline research in the beginning of the project, can you modify the baseline indicator values? This only for the indicators where baseline was unavailable in the process of application?</w:t>
            </w:r>
          </w:p>
        </w:tc>
        <w:tc>
          <w:tcPr>
            <w:tcW w:w="4531" w:type="dxa"/>
          </w:tcPr>
          <w:p w14:paraId="47792AA7" w14:textId="055E7EE4" w:rsidR="00D2168D" w:rsidRPr="005E1D39" w:rsidRDefault="00E81964" w:rsidP="00687B48">
            <w:pPr>
              <w:spacing w:before="120" w:after="120"/>
              <w:rPr>
                <w:rFonts w:cstheme="minorHAnsi"/>
                <w:lang w:val="en-GB"/>
              </w:rPr>
            </w:pPr>
            <w:r>
              <w:rPr>
                <w:rFonts w:cstheme="minorHAnsi"/>
                <w:lang w:val="en-GB"/>
              </w:rPr>
              <w:t>Yes, you can modify baseline indicators in this case</w:t>
            </w:r>
            <w:r w:rsidR="006C3E39">
              <w:rPr>
                <w:rFonts w:cstheme="minorHAnsi"/>
                <w:lang w:val="en-GB"/>
              </w:rPr>
              <w:t xml:space="preserve"> as this is envisaged in the project. </w:t>
            </w:r>
          </w:p>
        </w:tc>
      </w:tr>
      <w:tr w:rsidR="00D2168D" w14:paraId="63B64F6C" w14:textId="77777777" w:rsidTr="004A1CFE">
        <w:tc>
          <w:tcPr>
            <w:tcW w:w="562" w:type="dxa"/>
          </w:tcPr>
          <w:p w14:paraId="34AE7C9B" w14:textId="7AFB6C07" w:rsidR="00D2168D" w:rsidRDefault="00687B48" w:rsidP="001B368B">
            <w:pPr>
              <w:spacing w:before="120"/>
              <w:rPr>
                <w:rFonts w:cstheme="minorHAnsi"/>
                <w:b/>
                <w:bCs/>
                <w:color w:val="2E74B5"/>
                <w:lang w:val="en-GB"/>
              </w:rPr>
            </w:pPr>
            <w:r>
              <w:rPr>
                <w:rFonts w:cstheme="minorHAnsi"/>
                <w:b/>
                <w:bCs/>
                <w:color w:val="2E74B5"/>
                <w:lang w:val="en-GB"/>
              </w:rPr>
              <w:t>8</w:t>
            </w:r>
          </w:p>
        </w:tc>
        <w:tc>
          <w:tcPr>
            <w:tcW w:w="3969" w:type="dxa"/>
          </w:tcPr>
          <w:p w14:paraId="24EF18CE" w14:textId="645EC323" w:rsidR="00D2168D" w:rsidRPr="00D2168D" w:rsidRDefault="00FB02DB" w:rsidP="00687B48">
            <w:pPr>
              <w:spacing w:before="120" w:after="120"/>
              <w:rPr>
                <w:rFonts w:cstheme="minorHAnsi"/>
              </w:rPr>
            </w:pPr>
            <w:r w:rsidRPr="00FB02DB">
              <w:rPr>
                <w:rFonts w:cstheme="minorHAnsi"/>
                <w:lang w:val="ru-RU"/>
              </w:rPr>
              <w:t>In the final report package, do we need to include the verification documents already submitted with the interim 1 and 2 or we just send the documents related to the last year of the project?</w:t>
            </w:r>
          </w:p>
        </w:tc>
        <w:tc>
          <w:tcPr>
            <w:tcW w:w="4531" w:type="dxa"/>
          </w:tcPr>
          <w:p w14:paraId="03977028" w14:textId="14EAE50D" w:rsidR="00D2168D" w:rsidRPr="005E1D39" w:rsidRDefault="00B66227" w:rsidP="00687B48">
            <w:pPr>
              <w:spacing w:before="120" w:after="120"/>
              <w:jc w:val="both"/>
              <w:rPr>
                <w:rFonts w:cstheme="minorHAnsi"/>
                <w:lang w:val="en-GB"/>
              </w:rPr>
            </w:pPr>
            <w:r>
              <w:rPr>
                <w:rFonts w:cstheme="minorHAnsi"/>
                <w:lang w:val="en-GB"/>
              </w:rPr>
              <w:t xml:space="preserve">You </w:t>
            </w:r>
            <w:r w:rsidR="007B1100">
              <w:rPr>
                <w:rFonts w:cstheme="minorHAnsi"/>
                <w:lang w:val="en-GB"/>
              </w:rPr>
              <w:t xml:space="preserve">should </w:t>
            </w:r>
            <w:r>
              <w:rPr>
                <w:rFonts w:cstheme="minorHAnsi"/>
                <w:lang w:val="en-GB"/>
              </w:rPr>
              <w:t xml:space="preserve">just send </w:t>
            </w:r>
            <w:r w:rsidR="00A9703B">
              <w:rPr>
                <w:rFonts w:cstheme="minorHAnsi"/>
                <w:lang w:val="en-GB"/>
              </w:rPr>
              <w:t xml:space="preserve">supporting </w:t>
            </w:r>
            <w:r>
              <w:rPr>
                <w:rFonts w:cstheme="minorHAnsi"/>
                <w:lang w:val="en-GB"/>
              </w:rPr>
              <w:t xml:space="preserve">documents related to the last </w:t>
            </w:r>
            <w:r w:rsidR="00A9703B">
              <w:rPr>
                <w:rFonts w:cstheme="minorHAnsi"/>
                <w:lang w:val="en-GB"/>
              </w:rPr>
              <w:t xml:space="preserve">reporting </w:t>
            </w:r>
            <w:r>
              <w:rPr>
                <w:rFonts w:cstheme="minorHAnsi"/>
                <w:lang w:val="en-GB"/>
              </w:rPr>
              <w:t xml:space="preserve">year of project implementation. </w:t>
            </w:r>
            <w:r w:rsidR="007B1100">
              <w:rPr>
                <w:rFonts w:cstheme="minorHAnsi"/>
                <w:lang w:val="en-GB"/>
              </w:rPr>
              <w:t>However, please check with the CA instructions for report submission for it may</w:t>
            </w:r>
            <w:r w:rsidR="003402AC">
              <w:rPr>
                <w:rFonts w:cstheme="minorHAnsi"/>
                <w:lang w:val="en-GB"/>
              </w:rPr>
              <w:t xml:space="preserve"> differ between different C</w:t>
            </w:r>
            <w:r w:rsidR="00BD36EF">
              <w:rPr>
                <w:rFonts w:cstheme="minorHAnsi"/>
                <w:lang w:val="en-GB"/>
              </w:rPr>
              <w:t>As. For example, it may</w:t>
            </w:r>
            <w:r w:rsidR="007B1100">
              <w:rPr>
                <w:rFonts w:cstheme="minorHAnsi"/>
                <w:lang w:val="en-GB"/>
              </w:rPr>
              <w:t xml:space="preserve"> be that supporting documentation is provided to CA only upon request due to their </w:t>
            </w:r>
            <w:r w:rsidR="003402AC">
              <w:rPr>
                <w:rFonts w:cstheme="minorHAnsi"/>
                <w:lang w:val="en-GB"/>
              </w:rPr>
              <w:t>sample-based</w:t>
            </w:r>
            <w:r w:rsidR="006E7EF0">
              <w:rPr>
                <w:rFonts w:cstheme="minorHAnsi"/>
                <w:lang w:val="en-GB"/>
              </w:rPr>
              <w:t xml:space="preserve"> verification. </w:t>
            </w:r>
            <w:r w:rsidR="00BD36EF">
              <w:rPr>
                <w:rFonts w:cstheme="minorHAnsi"/>
                <w:lang w:val="en-GB"/>
              </w:rPr>
              <w:t>In other case</w:t>
            </w:r>
            <w:r w:rsidR="00A9703B">
              <w:rPr>
                <w:rFonts w:cstheme="minorHAnsi"/>
                <w:lang w:val="en-GB"/>
              </w:rPr>
              <w:t>s</w:t>
            </w:r>
            <w:r w:rsidR="00BD36EF">
              <w:rPr>
                <w:rFonts w:cstheme="minorHAnsi"/>
                <w:lang w:val="en-GB"/>
              </w:rPr>
              <w:t>, electronic versions of all supporting documentation</w:t>
            </w:r>
            <w:r w:rsidR="00524E98">
              <w:rPr>
                <w:rFonts w:cstheme="minorHAnsi"/>
                <w:lang w:val="en-GB"/>
              </w:rPr>
              <w:t xml:space="preserve"> from the last reporting year</w:t>
            </w:r>
            <w:r w:rsidR="00A9703B">
              <w:rPr>
                <w:rFonts w:cstheme="minorHAnsi"/>
                <w:lang w:val="en-GB"/>
              </w:rPr>
              <w:t xml:space="preserve"> need to be </w:t>
            </w:r>
            <w:r w:rsidR="00BD36EF">
              <w:rPr>
                <w:rFonts w:cstheme="minorHAnsi"/>
                <w:lang w:val="en-GB"/>
              </w:rPr>
              <w:t>provided</w:t>
            </w:r>
            <w:r w:rsidR="00524E98">
              <w:rPr>
                <w:rFonts w:cstheme="minorHAnsi"/>
                <w:lang w:val="en-GB"/>
              </w:rPr>
              <w:t>.</w:t>
            </w:r>
            <w:r w:rsidR="00BD36EF">
              <w:rPr>
                <w:rFonts w:cstheme="minorHAnsi"/>
                <w:lang w:val="en-GB"/>
              </w:rPr>
              <w:t xml:space="preserve"> </w:t>
            </w:r>
          </w:p>
        </w:tc>
      </w:tr>
      <w:tr w:rsidR="00D2168D" w14:paraId="5A3E9A66" w14:textId="77777777" w:rsidTr="004A1CFE">
        <w:tc>
          <w:tcPr>
            <w:tcW w:w="562" w:type="dxa"/>
          </w:tcPr>
          <w:p w14:paraId="6F187CD1" w14:textId="1A6C4214" w:rsidR="00D2168D" w:rsidRDefault="00687B48" w:rsidP="001B368B">
            <w:pPr>
              <w:spacing w:before="120"/>
              <w:rPr>
                <w:rFonts w:cstheme="minorHAnsi"/>
                <w:b/>
                <w:bCs/>
                <w:color w:val="2E74B5"/>
                <w:lang w:val="en-GB"/>
              </w:rPr>
            </w:pPr>
            <w:r>
              <w:rPr>
                <w:rFonts w:cstheme="minorHAnsi"/>
                <w:b/>
                <w:bCs/>
                <w:color w:val="2E74B5"/>
                <w:lang w:val="en-GB"/>
              </w:rPr>
              <w:t>9</w:t>
            </w:r>
          </w:p>
        </w:tc>
        <w:tc>
          <w:tcPr>
            <w:tcW w:w="3969" w:type="dxa"/>
          </w:tcPr>
          <w:p w14:paraId="19795823" w14:textId="49D86CCA" w:rsidR="00D2168D" w:rsidRPr="00D2168D" w:rsidRDefault="00FF7CAF" w:rsidP="00687B48">
            <w:pPr>
              <w:spacing w:before="120" w:after="120"/>
              <w:jc w:val="both"/>
              <w:rPr>
                <w:rFonts w:cstheme="minorHAnsi"/>
              </w:rPr>
            </w:pPr>
            <w:r>
              <w:rPr>
                <w:rFonts w:cstheme="minorHAnsi"/>
              </w:rPr>
              <w:t xml:space="preserve">Airplane </w:t>
            </w:r>
            <w:r w:rsidR="00153971">
              <w:rPr>
                <w:rFonts w:cstheme="minorHAnsi"/>
              </w:rPr>
              <w:t>tickets</w:t>
            </w:r>
            <w:r>
              <w:rPr>
                <w:rFonts w:cstheme="minorHAnsi"/>
              </w:rPr>
              <w:t xml:space="preserve"> have been purchased after </w:t>
            </w:r>
            <w:r w:rsidR="00464BA4">
              <w:rPr>
                <w:rFonts w:cstheme="minorHAnsi"/>
              </w:rPr>
              <w:t>Contract</w:t>
            </w:r>
            <w:r w:rsidR="00E47625">
              <w:rPr>
                <w:rFonts w:cstheme="minorHAnsi"/>
              </w:rPr>
              <w:t xml:space="preserve"> conclusion but before start of </w:t>
            </w:r>
            <w:r w:rsidR="00153971">
              <w:rPr>
                <w:rFonts w:cstheme="minorHAnsi"/>
              </w:rPr>
              <w:t xml:space="preserve">the </w:t>
            </w:r>
            <w:r w:rsidR="00464BA4">
              <w:rPr>
                <w:rFonts w:cstheme="minorHAnsi"/>
              </w:rPr>
              <w:t>implementation period</w:t>
            </w:r>
            <w:r w:rsidR="00E47625">
              <w:rPr>
                <w:rFonts w:cstheme="minorHAnsi"/>
              </w:rPr>
              <w:t xml:space="preserve"> </w:t>
            </w:r>
            <w:proofErr w:type="gramStart"/>
            <w:r w:rsidR="00E47625">
              <w:rPr>
                <w:rFonts w:cstheme="minorHAnsi"/>
              </w:rPr>
              <w:t>in order to</w:t>
            </w:r>
            <w:proofErr w:type="gramEnd"/>
            <w:r w:rsidR="00E47625">
              <w:rPr>
                <w:rFonts w:cstheme="minorHAnsi"/>
              </w:rPr>
              <w:t xml:space="preserve"> ensure cheapest price and availability of tickets for the travel</w:t>
            </w:r>
            <w:r w:rsidR="00F4101C">
              <w:rPr>
                <w:rFonts w:cstheme="minorHAnsi"/>
              </w:rPr>
              <w:t>. Is this eligible cost?</w:t>
            </w:r>
          </w:p>
        </w:tc>
        <w:tc>
          <w:tcPr>
            <w:tcW w:w="4531" w:type="dxa"/>
          </w:tcPr>
          <w:p w14:paraId="301FA4D1" w14:textId="77777777" w:rsidR="00B649DB" w:rsidRDefault="00B649DB" w:rsidP="00687B48">
            <w:pPr>
              <w:spacing w:before="120" w:after="120"/>
              <w:jc w:val="both"/>
              <w:rPr>
                <w:rFonts w:cstheme="minorHAnsi"/>
                <w:lang w:val="ru-RU"/>
              </w:rPr>
            </w:pPr>
            <w:r w:rsidRPr="00B649DB">
              <w:rPr>
                <w:rFonts w:cstheme="minorHAnsi"/>
                <w:lang w:val="ru-RU"/>
              </w:rPr>
              <w:t>Costs have to be related to and generated by activities carried out within the implementation period of the action (as defined in Article 2 of the special conditions) and in accordance with the contract.</w:t>
            </w:r>
          </w:p>
          <w:p w14:paraId="5F36F414" w14:textId="5E944E58" w:rsidR="002D45AD" w:rsidRPr="005E1D39" w:rsidRDefault="0034045D" w:rsidP="00687B48">
            <w:pPr>
              <w:spacing w:before="120" w:after="120"/>
              <w:jc w:val="both"/>
              <w:rPr>
                <w:rFonts w:cstheme="minorHAnsi"/>
                <w:lang w:val="en-GB"/>
              </w:rPr>
            </w:pPr>
            <w:r>
              <w:rPr>
                <w:rFonts w:cstheme="minorHAnsi"/>
                <w:lang w:val="en-GB"/>
              </w:rPr>
              <w:t xml:space="preserve">Airplane tickets </w:t>
            </w:r>
            <w:r w:rsidR="00383578">
              <w:rPr>
                <w:rFonts w:cstheme="minorHAnsi"/>
                <w:lang w:val="en-GB"/>
              </w:rPr>
              <w:t>were</w:t>
            </w:r>
            <w:r w:rsidR="00510B66">
              <w:rPr>
                <w:rFonts w:cstheme="minorHAnsi"/>
                <w:lang w:val="en-GB"/>
              </w:rPr>
              <w:t xml:space="preserve"> paid prior to start of implementation period </w:t>
            </w:r>
            <w:r w:rsidR="00A9703B">
              <w:rPr>
                <w:rFonts w:cstheme="minorHAnsi"/>
                <w:lang w:val="en-GB"/>
              </w:rPr>
              <w:t xml:space="preserve">(advance payment) </w:t>
            </w:r>
            <w:r w:rsidR="00510B66">
              <w:rPr>
                <w:rFonts w:cstheme="minorHAnsi"/>
                <w:lang w:val="en-GB"/>
              </w:rPr>
              <w:t>but</w:t>
            </w:r>
            <w:r w:rsidR="005C7A1C">
              <w:rPr>
                <w:rFonts w:cstheme="minorHAnsi"/>
                <w:lang w:val="en-GB"/>
              </w:rPr>
              <w:t xml:space="preserve"> the cost (travel</w:t>
            </w:r>
            <w:r w:rsidR="008A09B6">
              <w:rPr>
                <w:rFonts w:cstheme="minorHAnsi"/>
                <w:lang w:val="en-GB"/>
              </w:rPr>
              <w:t>)</w:t>
            </w:r>
            <w:r w:rsidR="00510B66">
              <w:rPr>
                <w:rFonts w:cstheme="minorHAnsi"/>
                <w:lang w:val="en-GB"/>
              </w:rPr>
              <w:t xml:space="preserve"> is not incurred </w:t>
            </w:r>
            <w:r w:rsidR="00715100">
              <w:rPr>
                <w:rFonts w:cstheme="minorHAnsi"/>
                <w:lang w:val="en-GB"/>
              </w:rPr>
              <w:t xml:space="preserve">because </w:t>
            </w:r>
            <w:r w:rsidR="00510B66">
              <w:rPr>
                <w:rFonts w:cstheme="minorHAnsi"/>
                <w:lang w:val="en-GB"/>
              </w:rPr>
              <w:t>the fli</w:t>
            </w:r>
            <w:r w:rsidR="0090297F">
              <w:rPr>
                <w:rFonts w:cstheme="minorHAnsi"/>
                <w:lang w:val="en-GB"/>
              </w:rPr>
              <w:t xml:space="preserve">ght will take place in implementation period. </w:t>
            </w:r>
            <w:r w:rsidR="00A9703B">
              <w:rPr>
                <w:rFonts w:cstheme="minorHAnsi"/>
                <w:lang w:val="en-GB"/>
              </w:rPr>
              <w:t>Therefore, these</w:t>
            </w:r>
            <w:r w:rsidR="005C7A1C">
              <w:t xml:space="preserve"> costs may be considered </w:t>
            </w:r>
            <w:r w:rsidR="00A9703B">
              <w:t xml:space="preserve">as </w:t>
            </w:r>
            <w:r w:rsidR="005C7A1C">
              <w:t>eligible to the extent that are reasonable and necessary for the action</w:t>
            </w:r>
            <w:r w:rsidR="00A9703B">
              <w:t xml:space="preserve">. Nevertheless, </w:t>
            </w:r>
            <w:r w:rsidR="0090297F">
              <w:rPr>
                <w:rFonts w:cstheme="minorHAnsi"/>
                <w:lang w:val="en-GB"/>
              </w:rPr>
              <w:t xml:space="preserve">it </w:t>
            </w:r>
            <w:r w:rsidR="00CC366B" w:rsidRPr="00CC366B">
              <w:rPr>
                <w:rFonts w:cstheme="minorHAnsi"/>
                <w:u w:val="single"/>
                <w:lang w:val="en-GB"/>
              </w:rPr>
              <w:t>is strongly</w:t>
            </w:r>
            <w:r w:rsidR="0090297F" w:rsidRPr="00CC366B">
              <w:rPr>
                <w:rFonts w:cstheme="minorHAnsi"/>
                <w:u w:val="single"/>
                <w:lang w:val="en-GB"/>
              </w:rPr>
              <w:t xml:space="preserve"> advisable to consult CA before </w:t>
            </w:r>
            <w:r w:rsidR="00CC366B" w:rsidRPr="00CC366B">
              <w:rPr>
                <w:rFonts w:cstheme="minorHAnsi"/>
                <w:u w:val="single"/>
                <w:lang w:val="en-GB"/>
              </w:rPr>
              <w:t xml:space="preserve">taking </w:t>
            </w:r>
            <w:r w:rsidR="0090297F" w:rsidRPr="00CC366B">
              <w:rPr>
                <w:rFonts w:cstheme="minorHAnsi"/>
                <w:u w:val="single"/>
                <w:lang w:val="en-GB"/>
              </w:rPr>
              <w:t>any further action</w:t>
            </w:r>
            <w:r w:rsidR="00CC366B" w:rsidRPr="00CC366B">
              <w:rPr>
                <w:rFonts w:cstheme="minorHAnsi"/>
                <w:u w:val="single"/>
                <w:lang w:val="en-GB"/>
              </w:rPr>
              <w:t>s</w:t>
            </w:r>
            <w:r w:rsidR="0090297F">
              <w:rPr>
                <w:rFonts w:cstheme="minorHAnsi"/>
                <w:lang w:val="en-GB"/>
              </w:rPr>
              <w:t xml:space="preserve"> to </w:t>
            </w:r>
            <w:r w:rsidR="00FF7CAF">
              <w:rPr>
                <w:rFonts w:cstheme="minorHAnsi"/>
                <w:lang w:val="en-GB"/>
              </w:rPr>
              <w:t>ensure eligibility of costs</w:t>
            </w:r>
            <w:r w:rsidR="0090297F">
              <w:rPr>
                <w:rFonts w:cstheme="minorHAnsi"/>
                <w:lang w:val="en-GB"/>
              </w:rPr>
              <w:t xml:space="preserve">. </w:t>
            </w:r>
          </w:p>
        </w:tc>
      </w:tr>
    </w:tbl>
    <w:p w14:paraId="66423461" w14:textId="77777777" w:rsidR="0011300E" w:rsidRPr="005D4115" w:rsidRDefault="0011300E" w:rsidP="001B368B">
      <w:pPr>
        <w:spacing w:before="120" w:after="0" w:line="240" w:lineRule="auto"/>
        <w:rPr>
          <w:rFonts w:cstheme="minorHAnsi"/>
          <w:b/>
          <w:bCs/>
          <w:color w:val="2E74B5"/>
          <w:lang w:val="en-GB"/>
        </w:rPr>
      </w:pPr>
    </w:p>
    <w:sectPr w:rsidR="0011300E" w:rsidRPr="005D4115" w:rsidSect="00D42A52">
      <w:headerReference w:type="default" r:id="rId12"/>
      <w:footerReference w:type="default" r:id="rId13"/>
      <w:headerReference w:type="first" r:id="rId14"/>
      <w:footerReference w:type="first" r:id="rId15"/>
      <w:pgSz w:w="11906" w:h="16838"/>
      <w:pgMar w:top="1710" w:right="1417" w:bottom="144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8CE0" w14:textId="77777777" w:rsidR="00E810D2" w:rsidRDefault="00E810D2" w:rsidP="00782D27">
      <w:pPr>
        <w:spacing w:after="0" w:line="240" w:lineRule="auto"/>
      </w:pPr>
      <w:r>
        <w:separator/>
      </w:r>
    </w:p>
  </w:endnote>
  <w:endnote w:type="continuationSeparator" w:id="0">
    <w:p w14:paraId="568755F0" w14:textId="77777777" w:rsidR="00E810D2" w:rsidRDefault="00E810D2" w:rsidP="0078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43242445"/>
      <w:docPartObj>
        <w:docPartGallery w:val="Page Numbers (Bottom of Page)"/>
        <w:docPartUnique/>
      </w:docPartObj>
    </w:sdtPr>
    <w:sdtEndPr>
      <w:rPr>
        <w:noProof/>
      </w:rPr>
    </w:sdtEndPr>
    <w:sdtContent>
      <w:p w14:paraId="6894089B" w14:textId="15939238" w:rsidR="0059440E" w:rsidRDefault="0059440E" w:rsidP="0098395A">
        <w:pPr>
          <w:jc w:val="center"/>
          <w:rPr>
            <w:sz w:val="18"/>
            <w:szCs w:val="18"/>
          </w:rPr>
        </w:pPr>
        <w:r w:rsidRPr="001F50BF">
          <w:rPr>
            <w:noProof/>
            <w:sz w:val="18"/>
            <w:szCs w:val="18"/>
            <w:lang w:val="en-US"/>
          </w:rPr>
          <w:drawing>
            <wp:anchor distT="0" distB="0" distL="114300" distR="114300" simplePos="0" relativeHeight="251691008" behindDoc="1" locked="0" layoutInCell="1" allowOverlap="1" wp14:anchorId="31592AC3" wp14:editId="5A9CC18D">
              <wp:simplePos x="0" y="0"/>
              <wp:positionH relativeFrom="page">
                <wp:posOffset>-5080</wp:posOffset>
              </wp:positionH>
              <wp:positionV relativeFrom="page">
                <wp:posOffset>9607550</wp:posOffset>
              </wp:positionV>
              <wp:extent cx="7564664" cy="747485"/>
              <wp:effectExtent l="19050" t="0" r="0" b="0"/>
              <wp:wrapNone/>
              <wp:docPr id="8" name="Рисунок 1" descr="doc_bg_bo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bg_bot_02.jpg"/>
                      <pic:cNvPicPr/>
                    </pic:nvPicPr>
                    <pic:blipFill>
                      <a:blip r:embed="rId1"/>
                      <a:stretch>
                        <a:fillRect/>
                      </a:stretch>
                    </pic:blipFill>
                    <pic:spPr>
                      <a:xfrm>
                        <a:off x="0" y="0"/>
                        <a:ext cx="7564664" cy="747485"/>
                      </a:xfrm>
                      <a:prstGeom prst="rect">
                        <a:avLst/>
                      </a:prstGeom>
                    </pic:spPr>
                  </pic:pic>
                </a:graphicData>
              </a:graphic>
            </wp:anchor>
          </w:drawing>
        </w:r>
      </w:p>
      <w:p w14:paraId="34302002" w14:textId="0AEF3366" w:rsidR="0059440E" w:rsidRPr="001F50BF" w:rsidRDefault="0059440E" w:rsidP="0098395A">
        <w:pPr>
          <w:jc w:val="center"/>
          <w:rPr>
            <w:noProof/>
            <w:sz w:val="18"/>
            <w:szCs w:val="18"/>
            <w:lang w:val="en-US"/>
          </w:rPr>
        </w:pPr>
        <w:r w:rsidRPr="001F50BF">
          <w:rPr>
            <w:sz w:val="18"/>
            <w:szCs w:val="18"/>
          </w:rPr>
          <w:fldChar w:fldCharType="begin"/>
        </w:r>
        <w:r w:rsidRPr="001F50BF">
          <w:rPr>
            <w:sz w:val="18"/>
            <w:szCs w:val="18"/>
          </w:rPr>
          <w:instrText xml:space="preserve"> PAGE   \* MERGEFORMAT </w:instrText>
        </w:r>
        <w:r w:rsidRPr="001F50BF">
          <w:rPr>
            <w:sz w:val="18"/>
            <w:szCs w:val="18"/>
          </w:rPr>
          <w:fldChar w:fldCharType="separate"/>
        </w:r>
        <w:r>
          <w:rPr>
            <w:noProof/>
            <w:sz w:val="18"/>
            <w:szCs w:val="18"/>
          </w:rPr>
          <w:t>2</w:t>
        </w:r>
        <w:r>
          <w:rPr>
            <w:noProof/>
            <w:sz w:val="18"/>
            <w:szCs w:val="18"/>
          </w:rPr>
          <w:t>1</w:t>
        </w:r>
        <w:r w:rsidRPr="001F50BF">
          <w:rPr>
            <w:noProof/>
            <w:sz w:val="18"/>
            <w:szCs w:val="18"/>
          </w:rPr>
          <w:fldChar w:fldCharType="end"/>
        </w:r>
        <w:r w:rsidRPr="001F50BF">
          <w:rPr>
            <w:noProof/>
            <w:sz w:val="18"/>
            <w:szCs w:val="18"/>
            <w:lang w:val="en-US"/>
          </w:rPr>
          <w:t xml:space="preserve"> </w:t>
        </w:r>
      </w:p>
    </w:sdtContent>
  </w:sdt>
  <w:p w14:paraId="3548AEF7" w14:textId="77777777" w:rsidR="0059440E" w:rsidRDefault="0059440E">
    <w:pPr>
      <w:spacing w:line="14" w:lineRule="auto"/>
      <w:rPr>
        <w:sz w:val="20"/>
      </w:rPr>
    </w:pPr>
    <w:r w:rsidRPr="007870A5">
      <w:rPr>
        <w:noProof/>
        <w:lang w:val="en-US"/>
      </w:rPr>
      <w:drawing>
        <wp:anchor distT="0" distB="0" distL="114300" distR="114300" simplePos="0" relativeHeight="251686912" behindDoc="0" locked="0" layoutInCell="1" allowOverlap="1" wp14:anchorId="2256B490" wp14:editId="134FF794">
          <wp:simplePos x="0" y="0"/>
          <wp:positionH relativeFrom="column">
            <wp:posOffset>0</wp:posOffset>
          </wp:positionH>
          <wp:positionV relativeFrom="page">
            <wp:posOffset>10791825</wp:posOffset>
          </wp:positionV>
          <wp:extent cx="5940425" cy="319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0425" cy="31940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2BD7" w14:textId="7AE319AA" w:rsidR="0059440E" w:rsidRDefault="0059440E">
    <w:pPr>
      <w:pStyle w:val="Footer"/>
    </w:pPr>
    <w:r w:rsidRPr="001F50BF">
      <w:rPr>
        <w:noProof/>
        <w:sz w:val="18"/>
        <w:szCs w:val="18"/>
        <w:lang w:val="en-US"/>
      </w:rPr>
      <w:drawing>
        <wp:anchor distT="0" distB="0" distL="114300" distR="114300" simplePos="0" relativeHeight="251699200" behindDoc="1" locked="0" layoutInCell="1" allowOverlap="1" wp14:anchorId="755C976D" wp14:editId="026290E0">
          <wp:simplePos x="0" y="0"/>
          <wp:positionH relativeFrom="page">
            <wp:posOffset>175895</wp:posOffset>
          </wp:positionH>
          <wp:positionV relativeFrom="page">
            <wp:posOffset>9785985</wp:posOffset>
          </wp:positionV>
          <wp:extent cx="7564664" cy="747485"/>
          <wp:effectExtent l="19050" t="0" r="0" b="0"/>
          <wp:wrapNone/>
          <wp:docPr id="6" name="Рисунок 1" descr="doc_bg_bo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bg_bot_02.jpg"/>
                  <pic:cNvPicPr/>
                </pic:nvPicPr>
                <pic:blipFill>
                  <a:blip r:embed="rId1"/>
                  <a:stretch>
                    <a:fillRect/>
                  </a:stretch>
                </pic:blipFill>
                <pic:spPr>
                  <a:xfrm>
                    <a:off x="0" y="0"/>
                    <a:ext cx="7564664" cy="7474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F87D" w14:textId="77777777" w:rsidR="00E810D2" w:rsidRDefault="00E810D2" w:rsidP="00782D27">
      <w:pPr>
        <w:spacing w:after="0" w:line="240" w:lineRule="auto"/>
      </w:pPr>
      <w:r>
        <w:separator/>
      </w:r>
    </w:p>
  </w:footnote>
  <w:footnote w:type="continuationSeparator" w:id="0">
    <w:p w14:paraId="3CCD0E23" w14:textId="77777777" w:rsidR="00E810D2" w:rsidRDefault="00E810D2" w:rsidP="00782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E04F" w14:textId="71831E1A" w:rsidR="0059440E" w:rsidRDefault="0059440E">
    <w:pPr>
      <w:pStyle w:val="Header"/>
    </w:pPr>
    <w:r>
      <w:rPr>
        <w:noProof/>
        <w:lang w:val="en-US"/>
      </w:rPr>
      <w:drawing>
        <wp:anchor distT="0" distB="0" distL="114300" distR="114300" simplePos="0" relativeHeight="251693056" behindDoc="1" locked="0" layoutInCell="1" allowOverlap="1" wp14:anchorId="2FA83C6E" wp14:editId="10BCCEAE">
          <wp:simplePos x="0" y="0"/>
          <wp:positionH relativeFrom="page">
            <wp:posOffset>-35560</wp:posOffset>
          </wp:positionH>
          <wp:positionV relativeFrom="page">
            <wp:posOffset>1270</wp:posOffset>
          </wp:positionV>
          <wp:extent cx="7588885" cy="2967355"/>
          <wp:effectExtent l="19050" t="0" r="0" b="0"/>
          <wp:wrapNone/>
          <wp:docPr id="4" name="Рисунок 70" descr="doc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oc_bg"/>
                  <pic:cNvPicPr>
                    <a:picLocks noChangeAspect="1" noChangeArrowheads="1"/>
                  </pic:cNvPicPr>
                </pic:nvPicPr>
                <pic:blipFill>
                  <a:blip r:embed="rId1"/>
                  <a:srcRect/>
                  <a:stretch>
                    <a:fillRect/>
                  </a:stretch>
                </pic:blipFill>
                <pic:spPr bwMode="auto">
                  <a:xfrm>
                    <a:off x="0" y="0"/>
                    <a:ext cx="7588885" cy="2967355"/>
                  </a:xfrm>
                  <a:prstGeom prst="rect">
                    <a:avLst/>
                  </a:prstGeom>
                  <a:noFill/>
                </pic:spPr>
              </pic:pic>
            </a:graphicData>
          </a:graphic>
        </wp:anchor>
      </w:drawing>
    </w:r>
    <w:r w:rsidRPr="000B47E2">
      <w:rPr>
        <w:noProof/>
        <w:lang w:val="en-US"/>
      </w:rPr>
      <w:drawing>
        <wp:anchor distT="0" distB="0" distL="114300" distR="114300" simplePos="0" relativeHeight="251695104" behindDoc="0" locked="0" layoutInCell="1" allowOverlap="1" wp14:anchorId="0FA9CAEF" wp14:editId="205D2B6E">
          <wp:simplePos x="0" y="0"/>
          <wp:positionH relativeFrom="column">
            <wp:posOffset>-261620</wp:posOffset>
          </wp:positionH>
          <wp:positionV relativeFrom="paragraph">
            <wp:posOffset>150495</wp:posOffset>
          </wp:positionV>
          <wp:extent cx="2871892" cy="352425"/>
          <wp:effectExtent l="0" t="0" r="5080" b="0"/>
          <wp:wrapNone/>
          <wp:docPr id="7" name="Picture 7" descr="eu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u_logo_0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71892" cy="352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1E9A" w14:textId="474DBBB7" w:rsidR="0059440E" w:rsidRDefault="0059440E">
    <w:pPr>
      <w:pStyle w:val="Header"/>
    </w:pPr>
    <w:r w:rsidRPr="000B47E2">
      <w:rPr>
        <w:noProof/>
        <w:lang w:val="en-US"/>
      </w:rPr>
      <w:drawing>
        <wp:anchor distT="0" distB="0" distL="114300" distR="114300" simplePos="0" relativeHeight="251697152" behindDoc="0" locked="0" layoutInCell="1" allowOverlap="1" wp14:anchorId="0C273CD1" wp14:editId="240D7D29">
          <wp:simplePos x="0" y="0"/>
          <wp:positionH relativeFrom="column">
            <wp:posOffset>-661670</wp:posOffset>
          </wp:positionH>
          <wp:positionV relativeFrom="paragraph">
            <wp:posOffset>-78105</wp:posOffset>
          </wp:positionV>
          <wp:extent cx="2871892" cy="352425"/>
          <wp:effectExtent l="0" t="0" r="5080" b="0"/>
          <wp:wrapNone/>
          <wp:docPr id="5" name="Picture 5" descr="eu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u_logo_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1892" cy="352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8960" behindDoc="1" locked="0" layoutInCell="1" allowOverlap="1" wp14:anchorId="12CB2066" wp14:editId="63551721">
          <wp:simplePos x="0" y="0"/>
          <wp:positionH relativeFrom="page">
            <wp:posOffset>-14605</wp:posOffset>
          </wp:positionH>
          <wp:positionV relativeFrom="page">
            <wp:posOffset>20320</wp:posOffset>
          </wp:positionV>
          <wp:extent cx="7588885" cy="2967355"/>
          <wp:effectExtent l="19050" t="0" r="0" b="0"/>
          <wp:wrapNone/>
          <wp:docPr id="10" name="Рисунок 70" descr="doc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oc_bg"/>
                  <pic:cNvPicPr>
                    <a:picLocks noChangeAspect="1" noChangeArrowheads="1"/>
                  </pic:cNvPicPr>
                </pic:nvPicPr>
                <pic:blipFill>
                  <a:blip r:embed="rId2"/>
                  <a:srcRect/>
                  <a:stretch>
                    <a:fillRect/>
                  </a:stretch>
                </pic:blipFill>
                <pic:spPr bwMode="auto">
                  <a:xfrm>
                    <a:off x="0" y="0"/>
                    <a:ext cx="7588885" cy="29673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B7E"/>
    <w:multiLevelType w:val="hybridMultilevel"/>
    <w:tmpl w:val="EE1E7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C27EE"/>
    <w:multiLevelType w:val="hybridMultilevel"/>
    <w:tmpl w:val="7BF2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7669"/>
    <w:multiLevelType w:val="hybridMultilevel"/>
    <w:tmpl w:val="D4C06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E743E"/>
    <w:multiLevelType w:val="hybridMultilevel"/>
    <w:tmpl w:val="A94C4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20CD4"/>
    <w:multiLevelType w:val="hybridMultilevel"/>
    <w:tmpl w:val="AB4621A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D82043A"/>
    <w:multiLevelType w:val="hybridMultilevel"/>
    <w:tmpl w:val="C360F384"/>
    <w:lvl w:ilvl="0" w:tplc="04090003">
      <w:start w:val="1"/>
      <w:numFmt w:val="bullet"/>
      <w:lvlText w:val="o"/>
      <w:lvlJc w:val="left"/>
      <w:pPr>
        <w:tabs>
          <w:tab w:val="num" w:pos="720"/>
        </w:tabs>
        <w:ind w:left="720" w:hanging="360"/>
      </w:pPr>
      <w:rPr>
        <w:rFonts w:ascii="Courier New" w:hAnsi="Courier New" w:cs="Courier New" w:hint="default"/>
      </w:rPr>
    </w:lvl>
    <w:lvl w:ilvl="1" w:tplc="F0D25FA2" w:tentative="1">
      <w:start w:val="1"/>
      <w:numFmt w:val="bullet"/>
      <w:lvlText w:val=""/>
      <w:lvlJc w:val="left"/>
      <w:pPr>
        <w:tabs>
          <w:tab w:val="num" w:pos="1440"/>
        </w:tabs>
        <w:ind w:left="1440" w:hanging="360"/>
      </w:pPr>
      <w:rPr>
        <w:rFonts w:ascii="Wingdings" w:hAnsi="Wingdings" w:hint="default"/>
      </w:rPr>
    </w:lvl>
    <w:lvl w:ilvl="2" w:tplc="599ABBDE" w:tentative="1">
      <w:start w:val="1"/>
      <w:numFmt w:val="bullet"/>
      <w:lvlText w:val=""/>
      <w:lvlJc w:val="left"/>
      <w:pPr>
        <w:tabs>
          <w:tab w:val="num" w:pos="2160"/>
        </w:tabs>
        <w:ind w:left="2160" w:hanging="360"/>
      </w:pPr>
      <w:rPr>
        <w:rFonts w:ascii="Wingdings" w:hAnsi="Wingdings" w:hint="default"/>
      </w:rPr>
    </w:lvl>
    <w:lvl w:ilvl="3" w:tplc="B030B418" w:tentative="1">
      <w:start w:val="1"/>
      <w:numFmt w:val="bullet"/>
      <w:lvlText w:val=""/>
      <w:lvlJc w:val="left"/>
      <w:pPr>
        <w:tabs>
          <w:tab w:val="num" w:pos="2880"/>
        </w:tabs>
        <w:ind w:left="2880" w:hanging="360"/>
      </w:pPr>
      <w:rPr>
        <w:rFonts w:ascii="Wingdings" w:hAnsi="Wingdings" w:hint="default"/>
      </w:rPr>
    </w:lvl>
    <w:lvl w:ilvl="4" w:tplc="A296F2B2" w:tentative="1">
      <w:start w:val="1"/>
      <w:numFmt w:val="bullet"/>
      <w:lvlText w:val=""/>
      <w:lvlJc w:val="left"/>
      <w:pPr>
        <w:tabs>
          <w:tab w:val="num" w:pos="3600"/>
        </w:tabs>
        <w:ind w:left="3600" w:hanging="360"/>
      </w:pPr>
      <w:rPr>
        <w:rFonts w:ascii="Wingdings" w:hAnsi="Wingdings" w:hint="default"/>
      </w:rPr>
    </w:lvl>
    <w:lvl w:ilvl="5" w:tplc="3A9E4C1E" w:tentative="1">
      <w:start w:val="1"/>
      <w:numFmt w:val="bullet"/>
      <w:lvlText w:val=""/>
      <w:lvlJc w:val="left"/>
      <w:pPr>
        <w:tabs>
          <w:tab w:val="num" w:pos="4320"/>
        </w:tabs>
        <w:ind w:left="4320" w:hanging="360"/>
      </w:pPr>
      <w:rPr>
        <w:rFonts w:ascii="Wingdings" w:hAnsi="Wingdings" w:hint="default"/>
      </w:rPr>
    </w:lvl>
    <w:lvl w:ilvl="6" w:tplc="7318F49E" w:tentative="1">
      <w:start w:val="1"/>
      <w:numFmt w:val="bullet"/>
      <w:lvlText w:val=""/>
      <w:lvlJc w:val="left"/>
      <w:pPr>
        <w:tabs>
          <w:tab w:val="num" w:pos="5040"/>
        </w:tabs>
        <w:ind w:left="5040" w:hanging="360"/>
      </w:pPr>
      <w:rPr>
        <w:rFonts w:ascii="Wingdings" w:hAnsi="Wingdings" w:hint="default"/>
      </w:rPr>
    </w:lvl>
    <w:lvl w:ilvl="7" w:tplc="EFF6491A" w:tentative="1">
      <w:start w:val="1"/>
      <w:numFmt w:val="bullet"/>
      <w:lvlText w:val=""/>
      <w:lvlJc w:val="left"/>
      <w:pPr>
        <w:tabs>
          <w:tab w:val="num" w:pos="5760"/>
        </w:tabs>
        <w:ind w:left="5760" w:hanging="360"/>
      </w:pPr>
      <w:rPr>
        <w:rFonts w:ascii="Wingdings" w:hAnsi="Wingdings" w:hint="default"/>
      </w:rPr>
    </w:lvl>
    <w:lvl w:ilvl="8" w:tplc="EC284E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E3793"/>
    <w:multiLevelType w:val="hybridMultilevel"/>
    <w:tmpl w:val="FF062C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47793"/>
    <w:multiLevelType w:val="hybridMultilevel"/>
    <w:tmpl w:val="2B34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75A89"/>
    <w:multiLevelType w:val="hybridMultilevel"/>
    <w:tmpl w:val="E90C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5D740D"/>
    <w:multiLevelType w:val="hybridMultilevel"/>
    <w:tmpl w:val="960CF13A"/>
    <w:lvl w:ilvl="0" w:tplc="3BC669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3014B"/>
    <w:multiLevelType w:val="hybridMultilevel"/>
    <w:tmpl w:val="6B2ABBE8"/>
    <w:lvl w:ilvl="0" w:tplc="3BC669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91613"/>
    <w:multiLevelType w:val="hybridMultilevel"/>
    <w:tmpl w:val="FF6C71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6238E"/>
    <w:multiLevelType w:val="hybridMultilevel"/>
    <w:tmpl w:val="7BF2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84C81"/>
    <w:multiLevelType w:val="hybridMultilevel"/>
    <w:tmpl w:val="7E60C41A"/>
    <w:lvl w:ilvl="0" w:tplc="B32668CA">
      <w:start w:val="1"/>
      <w:numFmt w:val="decimal"/>
      <w:lvlText w:val="%1."/>
      <w:lvlJc w:val="left"/>
      <w:pPr>
        <w:tabs>
          <w:tab w:val="num" w:pos="720"/>
        </w:tabs>
        <w:ind w:left="720" w:hanging="360"/>
      </w:pPr>
    </w:lvl>
    <w:lvl w:ilvl="1" w:tplc="A5CE7130" w:tentative="1">
      <w:start w:val="1"/>
      <w:numFmt w:val="decimal"/>
      <w:lvlText w:val="%2."/>
      <w:lvlJc w:val="left"/>
      <w:pPr>
        <w:tabs>
          <w:tab w:val="num" w:pos="1440"/>
        </w:tabs>
        <w:ind w:left="1440" w:hanging="360"/>
      </w:pPr>
    </w:lvl>
    <w:lvl w:ilvl="2" w:tplc="E1C86D88" w:tentative="1">
      <w:start w:val="1"/>
      <w:numFmt w:val="decimal"/>
      <w:lvlText w:val="%3."/>
      <w:lvlJc w:val="left"/>
      <w:pPr>
        <w:tabs>
          <w:tab w:val="num" w:pos="2160"/>
        </w:tabs>
        <w:ind w:left="2160" w:hanging="360"/>
      </w:pPr>
    </w:lvl>
    <w:lvl w:ilvl="3" w:tplc="6834F72C" w:tentative="1">
      <w:start w:val="1"/>
      <w:numFmt w:val="decimal"/>
      <w:lvlText w:val="%4."/>
      <w:lvlJc w:val="left"/>
      <w:pPr>
        <w:tabs>
          <w:tab w:val="num" w:pos="2880"/>
        </w:tabs>
        <w:ind w:left="2880" w:hanging="360"/>
      </w:pPr>
    </w:lvl>
    <w:lvl w:ilvl="4" w:tplc="E56600EE" w:tentative="1">
      <w:start w:val="1"/>
      <w:numFmt w:val="decimal"/>
      <w:lvlText w:val="%5."/>
      <w:lvlJc w:val="left"/>
      <w:pPr>
        <w:tabs>
          <w:tab w:val="num" w:pos="3600"/>
        </w:tabs>
        <w:ind w:left="3600" w:hanging="360"/>
      </w:pPr>
    </w:lvl>
    <w:lvl w:ilvl="5" w:tplc="01F8D3E6" w:tentative="1">
      <w:start w:val="1"/>
      <w:numFmt w:val="decimal"/>
      <w:lvlText w:val="%6."/>
      <w:lvlJc w:val="left"/>
      <w:pPr>
        <w:tabs>
          <w:tab w:val="num" w:pos="4320"/>
        </w:tabs>
        <w:ind w:left="4320" w:hanging="360"/>
      </w:pPr>
    </w:lvl>
    <w:lvl w:ilvl="6" w:tplc="DA9AF132" w:tentative="1">
      <w:start w:val="1"/>
      <w:numFmt w:val="decimal"/>
      <w:lvlText w:val="%7."/>
      <w:lvlJc w:val="left"/>
      <w:pPr>
        <w:tabs>
          <w:tab w:val="num" w:pos="5040"/>
        </w:tabs>
        <w:ind w:left="5040" w:hanging="360"/>
      </w:pPr>
    </w:lvl>
    <w:lvl w:ilvl="7" w:tplc="C8529CE4" w:tentative="1">
      <w:start w:val="1"/>
      <w:numFmt w:val="decimal"/>
      <w:lvlText w:val="%8."/>
      <w:lvlJc w:val="left"/>
      <w:pPr>
        <w:tabs>
          <w:tab w:val="num" w:pos="5760"/>
        </w:tabs>
        <w:ind w:left="5760" w:hanging="360"/>
      </w:pPr>
    </w:lvl>
    <w:lvl w:ilvl="8" w:tplc="7C2C1BA4" w:tentative="1">
      <w:start w:val="1"/>
      <w:numFmt w:val="decimal"/>
      <w:lvlText w:val="%9."/>
      <w:lvlJc w:val="left"/>
      <w:pPr>
        <w:tabs>
          <w:tab w:val="num" w:pos="6480"/>
        </w:tabs>
        <w:ind w:left="6480" w:hanging="360"/>
      </w:pPr>
    </w:lvl>
  </w:abstractNum>
  <w:abstractNum w:abstractNumId="14" w15:restartNumberingAfterBreak="0">
    <w:nsid w:val="5A6C25A2"/>
    <w:multiLevelType w:val="hybridMultilevel"/>
    <w:tmpl w:val="BE7ACEB6"/>
    <w:lvl w:ilvl="0" w:tplc="3C8E6A82">
      <w:start w:val="1"/>
      <w:numFmt w:val="decimal"/>
      <w:lvlText w:val="%1."/>
      <w:lvlJc w:val="left"/>
      <w:pPr>
        <w:tabs>
          <w:tab w:val="num" w:pos="720"/>
        </w:tabs>
        <w:ind w:left="720" w:hanging="360"/>
      </w:pPr>
    </w:lvl>
    <w:lvl w:ilvl="1" w:tplc="D6421D5C">
      <w:start w:val="1"/>
      <w:numFmt w:val="lowerLetter"/>
      <w:lvlText w:val="%2)"/>
      <w:lvlJc w:val="left"/>
      <w:pPr>
        <w:ind w:left="1440" w:hanging="360"/>
      </w:pPr>
      <w:rPr>
        <w:rFonts w:hint="default"/>
      </w:rPr>
    </w:lvl>
    <w:lvl w:ilvl="2" w:tplc="8446E764" w:tentative="1">
      <w:start w:val="1"/>
      <w:numFmt w:val="decimal"/>
      <w:lvlText w:val="%3."/>
      <w:lvlJc w:val="left"/>
      <w:pPr>
        <w:tabs>
          <w:tab w:val="num" w:pos="2160"/>
        </w:tabs>
        <w:ind w:left="2160" w:hanging="360"/>
      </w:pPr>
    </w:lvl>
    <w:lvl w:ilvl="3" w:tplc="8A0EC824" w:tentative="1">
      <w:start w:val="1"/>
      <w:numFmt w:val="decimal"/>
      <w:lvlText w:val="%4."/>
      <w:lvlJc w:val="left"/>
      <w:pPr>
        <w:tabs>
          <w:tab w:val="num" w:pos="2880"/>
        </w:tabs>
        <w:ind w:left="2880" w:hanging="360"/>
      </w:pPr>
    </w:lvl>
    <w:lvl w:ilvl="4" w:tplc="A65C9E5E" w:tentative="1">
      <w:start w:val="1"/>
      <w:numFmt w:val="decimal"/>
      <w:lvlText w:val="%5."/>
      <w:lvlJc w:val="left"/>
      <w:pPr>
        <w:tabs>
          <w:tab w:val="num" w:pos="3600"/>
        </w:tabs>
        <w:ind w:left="3600" w:hanging="360"/>
      </w:pPr>
    </w:lvl>
    <w:lvl w:ilvl="5" w:tplc="F7F4DD6E" w:tentative="1">
      <w:start w:val="1"/>
      <w:numFmt w:val="decimal"/>
      <w:lvlText w:val="%6."/>
      <w:lvlJc w:val="left"/>
      <w:pPr>
        <w:tabs>
          <w:tab w:val="num" w:pos="4320"/>
        </w:tabs>
        <w:ind w:left="4320" w:hanging="360"/>
      </w:pPr>
    </w:lvl>
    <w:lvl w:ilvl="6" w:tplc="756C3926" w:tentative="1">
      <w:start w:val="1"/>
      <w:numFmt w:val="decimal"/>
      <w:lvlText w:val="%7."/>
      <w:lvlJc w:val="left"/>
      <w:pPr>
        <w:tabs>
          <w:tab w:val="num" w:pos="5040"/>
        </w:tabs>
        <w:ind w:left="5040" w:hanging="360"/>
      </w:pPr>
    </w:lvl>
    <w:lvl w:ilvl="7" w:tplc="F9D87A7A" w:tentative="1">
      <w:start w:val="1"/>
      <w:numFmt w:val="decimal"/>
      <w:lvlText w:val="%8."/>
      <w:lvlJc w:val="left"/>
      <w:pPr>
        <w:tabs>
          <w:tab w:val="num" w:pos="5760"/>
        </w:tabs>
        <w:ind w:left="5760" w:hanging="360"/>
      </w:pPr>
    </w:lvl>
    <w:lvl w:ilvl="8" w:tplc="0A8CF71C" w:tentative="1">
      <w:start w:val="1"/>
      <w:numFmt w:val="decimal"/>
      <w:lvlText w:val="%9."/>
      <w:lvlJc w:val="left"/>
      <w:pPr>
        <w:tabs>
          <w:tab w:val="num" w:pos="6480"/>
        </w:tabs>
        <w:ind w:left="6480" w:hanging="360"/>
      </w:pPr>
    </w:lvl>
  </w:abstractNum>
  <w:abstractNum w:abstractNumId="15" w15:restartNumberingAfterBreak="0">
    <w:nsid w:val="5CB55D09"/>
    <w:multiLevelType w:val="hybridMultilevel"/>
    <w:tmpl w:val="BA805160"/>
    <w:lvl w:ilvl="0" w:tplc="4BCC29EE">
      <w:start w:val="1"/>
      <w:numFmt w:val="bullet"/>
      <w:lvlText w:val="•"/>
      <w:lvlJc w:val="left"/>
      <w:pPr>
        <w:tabs>
          <w:tab w:val="num" w:pos="720"/>
        </w:tabs>
        <w:ind w:left="720" w:hanging="360"/>
      </w:pPr>
      <w:rPr>
        <w:rFonts w:ascii="Arial" w:hAnsi="Arial" w:hint="default"/>
      </w:rPr>
    </w:lvl>
    <w:lvl w:ilvl="1" w:tplc="11424DBE" w:tentative="1">
      <w:start w:val="1"/>
      <w:numFmt w:val="bullet"/>
      <w:lvlText w:val="•"/>
      <w:lvlJc w:val="left"/>
      <w:pPr>
        <w:tabs>
          <w:tab w:val="num" w:pos="1440"/>
        </w:tabs>
        <w:ind w:left="1440" w:hanging="360"/>
      </w:pPr>
      <w:rPr>
        <w:rFonts w:ascii="Arial" w:hAnsi="Arial" w:hint="default"/>
      </w:rPr>
    </w:lvl>
    <w:lvl w:ilvl="2" w:tplc="C84A375C" w:tentative="1">
      <w:start w:val="1"/>
      <w:numFmt w:val="bullet"/>
      <w:lvlText w:val="•"/>
      <w:lvlJc w:val="left"/>
      <w:pPr>
        <w:tabs>
          <w:tab w:val="num" w:pos="2160"/>
        </w:tabs>
        <w:ind w:left="2160" w:hanging="360"/>
      </w:pPr>
      <w:rPr>
        <w:rFonts w:ascii="Arial" w:hAnsi="Arial" w:hint="default"/>
      </w:rPr>
    </w:lvl>
    <w:lvl w:ilvl="3" w:tplc="4CC21ACC" w:tentative="1">
      <w:start w:val="1"/>
      <w:numFmt w:val="bullet"/>
      <w:lvlText w:val="•"/>
      <w:lvlJc w:val="left"/>
      <w:pPr>
        <w:tabs>
          <w:tab w:val="num" w:pos="2880"/>
        </w:tabs>
        <w:ind w:left="2880" w:hanging="360"/>
      </w:pPr>
      <w:rPr>
        <w:rFonts w:ascii="Arial" w:hAnsi="Arial" w:hint="default"/>
      </w:rPr>
    </w:lvl>
    <w:lvl w:ilvl="4" w:tplc="48E6059A" w:tentative="1">
      <w:start w:val="1"/>
      <w:numFmt w:val="bullet"/>
      <w:lvlText w:val="•"/>
      <w:lvlJc w:val="left"/>
      <w:pPr>
        <w:tabs>
          <w:tab w:val="num" w:pos="3600"/>
        </w:tabs>
        <w:ind w:left="3600" w:hanging="360"/>
      </w:pPr>
      <w:rPr>
        <w:rFonts w:ascii="Arial" w:hAnsi="Arial" w:hint="default"/>
      </w:rPr>
    </w:lvl>
    <w:lvl w:ilvl="5" w:tplc="1DF8184A" w:tentative="1">
      <w:start w:val="1"/>
      <w:numFmt w:val="bullet"/>
      <w:lvlText w:val="•"/>
      <w:lvlJc w:val="left"/>
      <w:pPr>
        <w:tabs>
          <w:tab w:val="num" w:pos="4320"/>
        </w:tabs>
        <w:ind w:left="4320" w:hanging="360"/>
      </w:pPr>
      <w:rPr>
        <w:rFonts w:ascii="Arial" w:hAnsi="Arial" w:hint="default"/>
      </w:rPr>
    </w:lvl>
    <w:lvl w:ilvl="6" w:tplc="10F84D9A" w:tentative="1">
      <w:start w:val="1"/>
      <w:numFmt w:val="bullet"/>
      <w:lvlText w:val="•"/>
      <w:lvlJc w:val="left"/>
      <w:pPr>
        <w:tabs>
          <w:tab w:val="num" w:pos="5040"/>
        </w:tabs>
        <w:ind w:left="5040" w:hanging="360"/>
      </w:pPr>
      <w:rPr>
        <w:rFonts w:ascii="Arial" w:hAnsi="Arial" w:hint="default"/>
      </w:rPr>
    </w:lvl>
    <w:lvl w:ilvl="7" w:tplc="7E76E4E0" w:tentative="1">
      <w:start w:val="1"/>
      <w:numFmt w:val="bullet"/>
      <w:lvlText w:val="•"/>
      <w:lvlJc w:val="left"/>
      <w:pPr>
        <w:tabs>
          <w:tab w:val="num" w:pos="5760"/>
        </w:tabs>
        <w:ind w:left="5760" w:hanging="360"/>
      </w:pPr>
      <w:rPr>
        <w:rFonts w:ascii="Arial" w:hAnsi="Arial" w:hint="default"/>
      </w:rPr>
    </w:lvl>
    <w:lvl w:ilvl="8" w:tplc="044292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F1345B"/>
    <w:multiLevelType w:val="hybridMultilevel"/>
    <w:tmpl w:val="C0368D14"/>
    <w:lvl w:ilvl="0" w:tplc="81A4054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0D1086"/>
    <w:multiLevelType w:val="hybridMultilevel"/>
    <w:tmpl w:val="438A6AC0"/>
    <w:lvl w:ilvl="0" w:tplc="3BC669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A71EC"/>
    <w:multiLevelType w:val="hybridMultilevel"/>
    <w:tmpl w:val="48F2FA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684A37A3"/>
    <w:multiLevelType w:val="multilevel"/>
    <w:tmpl w:val="0E9E20A4"/>
    <w:lvl w:ilvl="0">
      <w:start w:val="1"/>
      <w:numFmt w:val="decimal"/>
      <w:lvlText w:val="%1."/>
      <w:lvlJc w:val="left"/>
      <w:pPr>
        <w:ind w:left="720" w:hanging="360"/>
      </w:pPr>
      <w:rPr>
        <w:rFonts w:hint="default"/>
        <w:b/>
        <w:bCs/>
        <w:color w:val="2F5496" w:themeColor="accent5" w:themeShade="BF"/>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C9B477E"/>
    <w:multiLevelType w:val="hybridMultilevel"/>
    <w:tmpl w:val="D2F8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332E7E"/>
    <w:multiLevelType w:val="hybridMultilevel"/>
    <w:tmpl w:val="96501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EA6F86"/>
    <w:multiLevelType w:val="hybridMultilevel"/>
    <w:tmpl w:val="2F5425F6"/>
    <w:lvl w:ilvl="0" w:tplc="3C8E6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71C0F"/>
    <w:multiLevelType w:val="hybridMultilevel"/>
    <w:tmpl w:val="3184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56139">
    <w:abstractNumId w:val="23"/>
  </w:num>
  <w:num w:numId="2" w16cid:durableId="1260215536">
    <w:abstractNumId w:val="7"/>
  </w:num>
  <w:num w:numId="3" w16cid:durableId="1591112324">
    <w:abstractNumId w:val="15"/>
  </w:num>
  <w:num w:numId="4" w16cid:durableId="238564847">
    <w:abstractNumId w:val="2"/>
  </w:num>
  <w:num w:numId="5" w16cid:durableId="1408303283">
    <w:abstractNumId w:val="13"/>
  </w:num>
  <w:num w:numId="6" w16cid:durableId="1179274845">
    <w:abstractNumId w:val="14"/>
  </w:num>
  <w:num w:numId="7" w16cid:durableId="110126199">
    <w:abstractNumId w:val="10"/>
  </w:num>
  <w:num w:numId="8" w16cid:durableId="2022317629">
    <w:abstractNumId w:val="11"/>
  </w:num>
  <w:num w:numId="9" w16cid:durableId="733622361">
    <w:abstractNumId w:val="6"/>
  </w:num>
  <w:num w:numId="10" w16cid:durableId="899365607">
    <w:abstractNumId w:val="9"/>
  </w:num>
  <w:num w:numId="11" w16cid:durableId="275065493">
    <w:abstractNumId w:val="22"/>
  </w:num>
  <w:num w:numId="12" w16cid:durableId="321350871">
    <w:abstractNumId w:val="5"/>
  </w:num>
  <w:num w:numId="13" w16cid:durableId="810828510">
    <w:abstractNumId w:val="12"/>
  </w:num>
  <w:num w:numId="14" w16cid:durableId="1129467958">
    <w:abstractNumId w:val="0"/>
  </w:num>
  <w:num w:numId="15" w16cid:durableId="1830487308">
    <w:abstractNumId w:val="4"/>
  </w:num>
  <w:num w:numId="16" w16cid:durableId="2040086067">
    <w:abstractNumId w:val="1"/>
  </w:num>
  <w:num w:numId="17" w16cid:durableId="2058158126">
    <w:abstractNumId w:val="20"/>
  </w:num>
  <w:num w:numId="18" w16cid:durableId="153958452">
    <w:abstractNumId w:val="17"/>
  </w:num>
  <w:num w:numId="19" w16cid:durableId="1294405293">
    <w:abstractNumId w:val="3"/>
  </w:num>
  <w:num w:numId="20" w16cid:durableId="1988850827">
    <w:abstractNumId w:val="21"/>
  </w:num>
  <w:num w:numId="21" w16cid:durableId="1019552367">
    <w:abstractNumId w:val="8"/>
  </w:num>
  <w:num w:numId="22" w16cid:durableId="89089651">
    <w:abstractNumId w:val="19"/>
  </w:num>
  <w:num w:numId="23" w16cid:durableId="2018342643">
    <w:abstractNumId w:val="18"/>
  </w:num>
  <w:num w:numId="24" w16cid:durableId="54283666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27"/>
    <w:rsid w:val="00004EB4"/>
    <w:rsid w:val="000154E7"/>
    <w:rsid w:val="0001635F"/>
    <w:rsid w:val="00017C3A"/>
    <w:rsid w:val="00020600"/>
    <w:rsid w:val="000261F8"/>
    <w:rsid w:val="00030248"/>
    <w:rsid w:val="0003398F"/>
    <w:rsid w:val="00034FE7"/>
    <w:rsid w:val="00037E54"/>
    <w:rsid w:val="00040BF1"/>
    <w:rsid w:val="00040C5D"/>
    <w:rsid w:val="00041BC8"/>
    <w:rsid w:val="00041D8F"/>
    <w:rsid w:val="000437BF"/>
    <w:rsid w:val="0005024D"/>
    <w:rsid w:val="0005549E"/>
    <w:rsid w:val="000626A8"/>
    <w:rsid w:val="00066DA5"/>
    <w:rsid w:val="000675D5"/>
    <w:rsid w:val="0006767D"/>
    <w:rsid w:val="00070EB0"/>
    <w:rsid w:val="00072100"/>
    <w:rsid w:val="0007232B"/>
    <w:rsid w:val="00074106"/>
    <w:rsid w:val="000757ED"/>
    <w:rsid w:val="000775B1"/>
    <w:rsid w:val="00080202"/>
    <w:rsid w:val="00083B27"/>
    <w:rsid w:val="00085B68"/>
    <w:rsid w:val="00091B26"/>
    <w:rsid w:val="00093448"/>
    <w:rsid w:val="00094438"/>
    <w:rsid w:val="00095192"/>
    <w:rsid w:val="00096330"/>
    <w:rsid w:val="00096C1D"/>
    <w:rsid w:val="0009710E"/>
    <w:rsid w:val="00097C49"/>
    <w:rsid w:val="000A0BDA"/>
    <w:rsid w:val="000A1CDB"/>
    <w:rsid w:val="000A1DE9"/>
    <w:rsid w:val="000A223B"/>
    <w:rsid w:val="000A3C4B"/>
    <w:rsid w:val="000A43CB"/>
    <w:rsid w:val="000A5B40"/>
    <w:rsid w:val="000A6201"/>
    <w:rsid w:val="000A6C71"/>
    <w:rsid w:val="000A74B5"/>
    <w:rsid w:val="000B127F"/>
    <w:rsid w:val="000B1356"/>
    <w:rsid w:val="000B47E2"/>
    <w:rsid w:val="000B7A09"/>
    <w:rsid w:val="000C0271"/>
    <w:rsid w:val="000C0E36"/>
    <w:rsid w:val="000C45A6"/>
    <w:rsid w:val="000C474B"/>
    <w:rsid w:val="000C514D"/>
    <w:rsid w:val="000C5A6F"/>
    <w:rsid w:val="000C7A80"/>
    <w:rsid w:val="000C7FDF"/>
    <w:rsid w:val="000D137A"/>
    <w:rsid w:val="000D25F1"/>
    <w:rsid w:val="000D2B9B"/>
    <w:rsid w:val="000E0878"/>
    <w:rsid w:val="000E0AFD"/>
    <w:rsid w:val="000E1A71"/>
    <w:rsid w:val="000E5200"/>
    <w:rsid w:val="000F4325"/>
    <w:rsid w:val="000F52B0"/>
    <w:rsid w:val="001010E6"/>
    <w:rsid w:val="00102255"/>
    <w:rsid w:val="00105156"/>
    <w:rsid w:val="00105FA8"/>
    <w:rsid w:val="001070F3"/>
    <w:rsid w:val="00110573"/>
    <w:rsid w:val="0011185F"/>
    <w:rsid w:val="0011214C"/>
    <w:rsid w:val="001122D7"/>
    <w:rsid w:val="00112538"/>
    <w:rsid w:val="00112CD3"/>
    <w:rsid w:val="0011300E"/>
    <w:rsid w:val="00115190"/>
    <w:rsid w:val="00115732"/>
    <w:rsid w:val="001157B1"/>
    <w:rsid w:val="00115E33"/>
    <w:rsid w:val="001162CD"/>
    <w:rsid w:val="00116CFA"/>
    <w:rsid w:val="00121149"/>
    <w:rsid w:val="00126B91"/>
    <w:rsid w:val="0013261E"/>
    <w:rsid w:val="00133B3A"/>
    <w:rsid w:val="00142D00"/>
    <w:rsid w:val="001435E9"/>
    <w:rsid w:val="00146DA0"/>
    <w:rsid w:val="00147F11"/>
    <w:rsid w:val="00147F25"/>
    <w:rsid w:val="00153971"/>
    <w:rsid w:val="0015491C"/>
    <w:rsid w:val="001554F8"/>
    <w:rsid w:val="0016096A"/>
    <w:rsid w:val="0016159E"/>
    <w:rsid w:val="0016275D"/>
    <w:rsid w:val="001640D6"/>
    <w:rsid w:val="0016580D"/>
    <w:rsid w:val="00166C86"/>
    <w:rsid w:val="00171D25"/>
    <w:rsid w:val="001721BD"/>
    <w:rsid w:val="0017271C"/>
    <w:rsid w:val="00173B66"/>
    <w:rsid w:val="00174602"/>
    <w:rsid w:val="00186A42"/>
    <w:rsid w:val="00186EEE"/>
    <w:rsid w:val="00193780"/>
    <w:rsid w:val="00193C62"/>
    <w:rsid w:val="00194115"/>
    <w:rsid w:val="00196507"/>
    <w:rsid w:val="00196E3F"/>
    <w:rsid w:val="001A119F"/>
    <w:rsid w:val="001A2310"/>
    <w:rsid w:val="001A27D9"/>
    <w:rsid w:val="001A52BB"/>
    <w:rsid w:val="001B16BF"/>
    <w:rsid w:val="001B1C34"/>
    <w:rsid w:val="001B231E"/>
    <w:rsid w:val="001B2485"/>
    <w:rsid w:val="001B3576"/>
    <w:rsid w:val="001B368B"/>
    <w:rsid w:val="001B5ADC"/>
    <w:rsid w:val="001C42EA"/>
    <w:rsid w:val="001C52A1"/>
    <w:rsid w:val="001C683E"/>
    <w:rsid w:val="001D1B67"/>
    <w:rsid w:val="001D48A5"/>
    <w:rsid w:val="001E18C0"/>
    <w:rsid w:val="001E2134"/>
    <w:rsid w:val="001E3DED"/>
    <w:rsid w:val="001E3FAE"/>
    <w:rsid w:val="001E4263"/>
    <w:rsid w:val="001E5261"/>
    <w:rsid w:val="001F1155"/>
    <w:rsid w:val="001F1A98"/>
    <w:rsid w:val="001F1CC6"/>
    <w:rsid w:val="001F3190"/>
    <w:rsid w:val="001F3B72"/>
    <w:rsid w:val="001F4E04"/>
    <w:rsid w:val="001F50BF"/>
    <w:rsid w:val="001F55B7"/>
    <w:rsid w:val="001F55BE"/>
    <w:rsid w:val="001F55FB"/>
    <w:rsid w:val="001F6266"/>
    <w:rsid w:val="002035A1"/>
    <w:rsid w:val="002035D2"/>
    <w:rsid w:val="00204D2A"/>
    <w:rsid w:val="00205179"/>
    <w:rsid w:val="002103EA"/>
    <w:rsid w:val="00214420"/>
    <w:rsid w:val="00215DC6"/>
    <w:rsid w:val="00216A9D"/>
    <w:rsid w:val="0022002B"/>
    <w:rsid w:val="00220A7D"/>
    <w:rsid w:val="0022289F"/>
    <w:rsid w:val="00222CE6"/>
    <w:rsid w:val="0022375F"/>
    <w:rsid w:val="00224090"/>
    <w:rsid w:val="002242FF"/>
    <w:rsid w:val="00227DB7"/>
    <w:rsid w:val="00227FA2"/>
    <w:rsid w:val="00230413"/>
    <w:rsid w:val="0023126A"/>
    <w:rsid w:val="00232A2F"/>
    <w:rsid w:val="00234A26"/>
    <w:rsid w:val="00240115"/>
    <w:rsid w:val="002408B0"/>
    <w:rsid w:val="0024189B"/>
    <w:rsid w:val="0024191F"/>
    <w:rsid w:val="00241E84"/>
    <w:rsid w:val="002431CF"/>
    <w:rsid w:val="00243E12"/>
    <w:rsid w:val="002452A1"/>
    <w:rsid w:val="00245C2C"/>
    <w:rsid w:val="002506E5"/>
    <w:rsid w:val="00254605"/>
    <w:rsid w:val="002547F9"/>
    <w:rsid w:val="002567B2"/>
    <w:rsid w:val="00256EB2"/>
    <w:rsid w:val="0026019F"/>
    <w:rsid w:val="0026222E"/>
    <w:rsid w:val="00262CE6"/>
    <w:rsid w:val="00267B4B"/>
    <w:rsid w:val="00272CAC"/>
    <w:rsid w:val="00274730"/>
    <w:rsid w:val="00274EE1"/>
    <w:rsid w:val="00275944"/>
    <w:rsid w:val="00275AD3"/>
    <w:rsid w:val="0027662A"/>
    <w:rsid w:val="002767AF"/>
    <w:rsid w:val="00281CDD"/>
    <w:rsid w:val="00282303"/>
    <w:rsid w:val="00283480"/>
    <w:rsid w:val="00284113"/>
    <w:rsid w:val="0028594E"/>
    <w:rsid w:val="002939BD"/>
    <w:rsid w:val="00294B4A"/>
    <w:rsid w:val="00295E3F"/>
    <w:rsid w:val="00297C75"/>
    <w:rsid w:val="002A05F3"/>
    <w:rsid w:val="002A2445"/>
    <w:rsid w:val="002A43D6"/>
    <w:rsid w:val="002A4C61"/>
    <w:rsid w:val="002A58C8"/>
    <w:rsid w:val="002A59D3"/>
    <w:rsid w:val="002A5A17"/>
    <w:rsid w:val="002A7028"/>
    <w:rsid w:val="002B5E1A"/>
    <w:rsid w:val="002B6DDB"/>
    <w:rsid w:val="002B7A98"/>
    <w:rsid w:val="002C28E8"/>
    <w:rsid w:val="002C41B9"/>
    <w:rsid w:val="002D3771"/>
    <w:rsid w:val="002D45AD"/>
    <w:rsid w:val="002D7AF5"/>
    <w:rsid w:val="002E0657"/>
    <w:rsid w:val="002E0BB5"/>
    <w:rsid w:val="002E1739"/>
    <w:rsid w:val="002E2CCB"/>
    <w:rsid w:val="002E3F5B"/>
    <w:rsid w:val="002E46E6"/>
    <w:rsid w:val="002E5A72"/>
    <w:rsid w:val="002F0029"/>
    <w:rsid w:val="002F231C"/>
    <w:rsid w:val="002F4C7D"/>
    <w:rsid w:val="002F4DC3"/>
    <w:rsid w:val="002F4F27"/>
    <w:rsid w:val="002F605E"/>
    <w:rsid w:val="003008EA"/>
    <w:rsid w:val="0030254B"/>
    <w:rsid w:val="00302995"/>
    <w:rsid w:val="00302D7D"/>
    <w:rsid w:val="00306D72"/>
    <w:rsid w:val="00311D45"/>
    <w:rsid w:val="003127E1"/>
    <w:rsid w:val="00314D5F"/>
    <w:rsid w:val="003165E7"/>
    <w:rsid w:val="00316670"/>
    <w:rsid w:val="00316914"/>
    <w:rsid w:val="00320C96"/>
    <w:rsid w:val="00322A81"/>
    <w:rsid w:val="003242B2"/>
    <w:rsid w:val="0032513B"/>
    <w:rsid w:val="00326485"/>
    <w:rsid w:val="00327525"/>
    <w:rsid w:val="00327A0F"/>
    <w:rsid w:val="00332584"/>
    <w:rsid w:val="00335F69"/>
    <w:rsid w:val="003402AC"/>
    <w:rsid w:val="0034030A"/>
    <w:rsid w:val="0034045D"/>
    <w:rsid w:val="003469D9"/>
    <w:rsid w:val="003510E5"/>
    <w:rsid w:val="00354998"/>
    <w:rsid w:val="0036085F"/>
    <w:rsid w:val="003610A9"/>
    <w:rsid w:val="003610E9"/>
    <w:rsid w:val="00364E12"/>
    <w:rsid w:val="003662CC"/>
    <w:rsid w:val="0036683B"/>
    <w:rsid w:val="0036798C"/>
    <w:rsid w:val="00371580"/>
    <w:rsid w:val="00374C30"/>
    <w:rsid w:val="003758AF"/>
    <w:rsid w:val="00380331"/>
    <w:rsid w:val="003809D8"/>
    <w:rsid w:val="00381049"/>
    <w:rsid w:val="00382D20"/>
    <w:rsid w:val="00383578"/>
    <w:rsid w:val="003922C9"/>
    <w:rsid w:val="00396FB5"/>
    <w:rsid w:val="003A0D66"/>
    <w:rsid w:val="003A53B5"/>
    <w:rsid w:val="003A6C30"/>
    <w:rsid w:val="003A730F"/>
    <w:rsid w:val="003A7DE0"/>
    <w:rsid w:val="003B120B"/>
    <w:rsid w:val="003B55BE"/>
    <w:rsid w:val="003B62C7"/>
    <w:rsid w:val="003B7878"/>
    <w:rsid w:val="003C1303"/>
    <w:rsid w:val="003C3EF6"/>
    <w:rsid w:val="003C4FA3"/>
    <w:rsid w:val="003C53C4"/>
    <w:rsid w:val="003C6BC3"/>
    <w:rsid w:val="003C7E8D"/>
    <w:rsid w:val="003D1D1B"/>
    <w:rsid w:val="003D2278"/>
    <w:rsid w:val="003D24B0"/>
    <w:rsid w:val="003D3C85"/>
    <w:rsid w:val="003D59F7"/>
    <w:rsid w:val="003D5B5C"/>
    <w:rsid w:val="003D61E4"/>
    <w:rsid w:val="003D7680"/>
    <w:rsid w:val="003E1001"/>
    <w:rsid w:val="003E2509"/>
    <w:rsid w:val="003E28A2"/>
    <w:rsid w:val="003E359F"/>
    <w:rsid w:val="003E360D"/>
    <w:rsid w:val="003E4B29"/>
    <w:rsid w:val="003E523A"/>
    <w:rsid w:val="003E5374"/>
    <w:rsid w:val="003E6758"/>
    <w:rsid w:val="003F109A"/>
    <w:rsid w:val="003F6C2F"/>
    <w:rsid w:val="00400A49"/>
    <w:rsid w:val="004019A8"/>
    <w:rsid w:val="00401AFB"/>
    <w:rsid w:val="0041036C"/>
    <w:rsid w:val="00410793"/>
    <w:rsid w:val="0041285B"/>
    <w:rsid w:val="00413AE2"/>
    <w:rsid w:val="00414FB3"/>
    <w:rsid w:val="00420745"/>
    <w:rsid w:val="00420FF2"/>
    <w:rsid w:val="004229F5"/>
    <w:rsid w:val="00422A3D"/>
    <w:rsid w:val="004238C2"/>
    <w:rsid w:val="0042449A"/>
    <w:rsid w:val="00427800"/>
    <w:rsid w:val="00436709"/>
    <w:rsid w:val="0043700C"/>
    <w:rsid w:val="00445A98"/>
    <w:rsid w:val="004473CC"/>
    <w:rsid w:val="00447BA4"/>
    <w:rsid w:val="00454FDA"/>
    <w:rsid w:val="00455595"/>
    <w:rsid w:val="00457ECE"/>
    <w:rsid w:val="00460247"/>
    <w:rsid w:val="00460ECF"/>
    <w:rsid w:val="0046274F"/>
    <w:rsid w:val="004633AA"/>
    <w:rsid w:val="00463EC1"/>
    <w:rsid w:val="00464BA4"/>
    <w:rsid w:val="004663C8"/>
    <w:rsid w:val="00467806"/>
    <w:rsid w:val="00470D5D"/>
    <w:rsid w:val="004710D3"/>
    <w:rsid w:val="004744FC"/>
    <w:rsid w:val="00474F5D"/>
    <w:rsid w:val="00485999"/>
    <w:rsid w:val="00490446"/>
    <w:rsid w:val="00493FF9"/>
    <w:rsid w:val="00494D3D"/>
    <w:rsid w:val="00496323"/>
    <w:rsid w:val="00497F7E"/>
    <w:rsid w:val="004A012D"/>
    <w:rsid w:val="004A0472"/>
    <w:rsid w:val="004A1CFE"/>
    <w:rsid w:val="004A22EC"/>
    <w:rsid w:val="004A353C"/>
    <w:rsid w:val="004B225B"/>
    <w:rsid w:val="004B63EE"/>
    <w:rsid w:val="004B7892"/>
    <w:rsid w:val="004C107B"/>
    <w:rsid w:val="004C1936"/>
    <w:rsid w:val="004C201D"/>
    <w:rsid w:val="004C2F9C"/>
    <w:rsid w:val="004C6031"/>
    <w:rsid w:val="004C621A"/>
    <w:rsid w:val="004D124F"/>
    <w:rsid w:val="004D62BF"/>
    <w:rsid w:val="004D7159"/>
    <w:rsid w:val="004D7C3C"/>
    <w:rsid w:val="004E1142"/>
    <w:rsid w:val="004E7379"/>
    <w:rsid w:val="004E7861"/>
    <w:rsid w:val="004F672E"/>
    <w:rsid w:val="00502FA4"/>
    <w:rsid w:val="00503466"/>
    <w:rsid w:val="0050380E"/>
    <w:rsid w:val="005045E6"/>
    <w:rsid w:val="00504CF8"/>
    <w:rsid w:val="00505E99"/>
    <w:rsid w:val="0050701B"/>
    <w:rsid w:val="00510A85"/>
    <w:rsid w:val="00510B66"/>
    <w:rsid w:val="00510C4B"/>
    <w:rsid w:val="005151DC"/>
    <w:rsid w:val="00516312"/>
    <w:rsid w:val="0052055D"/>
    <w:rsid w:val="00524077"/>
    <w:rsid w:val="005242B6"/>
    <w:rsid w:val="00524E98"/>
    <w:rsid w:val="0052719A"/>
    <w:rsid w:val="005276F3"/>
    <w:rsid w:val="0053154E"/>
    <w:rsid w:val="00531FE7"/>
    <w:rsid w:val="00532654"/>
    <w:rsid w:val="00532CD1"/>
    <w:rsid w:val="00532F07"/>
    <w:rsid w:val="00535B1B"/>
    <w:rsid w:val="00540925"/>
    <w:rsid w:val="005413C2"/>
    <w:rsid w:val="005423D4"/>
    <w:rsid w:val="00542B98"/>
    <w:rsid w:val="00543BFD"/>
    <w:rsid w:val="00547AC8"/>
    <w:rsid w:val="00550763"/>
    <w:rsid w:val="00553D99"/>
    <w:rsid w:val="005561F1"/>
    <w:rsid w:val="00556DC4"/>
    <w:rsid w:val="005579EA"/>
    <w:rsid w:val="00560B5E"/>
    <w:rsid w:val="005624C1"/>
    <w:rsid w:val="00564703"/>
    <w:rsid w:val="0056699D"/>
    <w:rsid w:val="00570222"/>
    <w:rsid w:val="00571A4C"/>
    <w:rsid w:val="00573012"/>
    <w:rsid w:val="00573680"/>
    <w:rsid w:val="0057409C"/>
    <w:rsid w:val="005767C9"/>
    <w:rsid w:val="005807A7"/>
    <w:rsid w:val="00580F02"/>
    <w:rsid w:val="0058346D"/>
    <w:rsid w:val="0058411B"/>
    <w:rsid w:val="0058507C"/>
    <w:rsid w:val="00590215"/>
    <w:rsid w:val="00591B83"/>
    <w:rsid w:val="005926C8"/>
    <w:rsid w:val="0059440E"/>
    <w:rsid w:val="00594424"/>
    <w:rsid w:val="00595FE2"/>
    <w:rsid w:val="005960FE"/>
    <w:rsid w:val="00597F02"/>
    <w:rsid w:val="005A3A45"/>
    <w:rsid w:val="005A5056"/>
    <w:rsid w:val="005A6FE0"/>
    <w:rsid w:val="005A7966"/>
    <w:rsid w:val="005B23E3"/>
    <w:rsid w:val="005B28B6"/>
    <w:rsid w:val="005B29C3"/>
    <w:rsid w:val="005B3C34"/>
    <w:rsid w:val="005B51E3"/>
    <w:rsid w:val="005B6D3D"/>
    <w:rsid w:val="005C161F"/>
    <w:rsid w:val="005C26B7"/>
    <w:rsid w:val="005C2A81"/>
    <w:rsid w:val="005C3041"/>
    <w:rsid w:val="005C691E"/>
    <w:rsid w:val="005C7A1C"/>
    <w:rsid w:val="005D04DE"/>
    <w:rsid w:val="005D19B5"/>
    <w:rsid w:val="005D4115"/>
    <w:rsid w:val="005D43D2"/>
    <w:rsid w:val="005D6886"/>
    <w:rsid w:val="005D6F48"/>
    <w:rsid w:val="005D76E1"/>
    <w:rsid w:val="005E06BA"/>
    <w:rsid w:val="005E1D39"/>
    <w:rsid w:val="005E3689"/>
    <w:rsid w:val="005E64E6"/>
    <w:rsid w:val="005F0037"/>
    <w:rsid w:val="005F0173"/>
    <w:rsid w:val="005F0C56"/>
    <w:rsid w:val="005F2FD3"/>
    <w:rsid w:val="005F644C"/>
    <w:rsid w:val="005F6A80"/>
    <w:rsid w:val="005F7850"/>
    <w:rsid w:val="00600E08"/>
    <w:rsid w:val="00602F8B"/>
    <w:rsid w:val="0060391B"/>
    <w:rsid w:val="00606157"/>
    <w:rsid w:val="0060712F"/>
    <w:rsid w:val="00610EC4"/>
    <w:rsid w:val="0061325B"/>
    <w:rsid w:val="00614E28"/>
    <w:rsid w:val="00615A39"/>
    <w:rsid w:val="00624CA8"/>
    <w:rsid w:val="006272D5"/>
    <w:rsid w:val="00627465"/>
    <w:rsid w:val="00630100"/>
    <w:rsid w:val="0063044D"/>
    <w:rsid w:val="0063506A"/>
    <w:rsid w:val="00636332"/>
    <w:rsid w:val="00637BE4"/>
    <w:rsid w:val="00644AC3"/>
    <w:rsid w:val="00647DB3"/>
    <w:rsid w:val="006507BE"/>
    <w:rsid w:val="006515A5"/>
    <w:rsid w:val="00654DE0"/>
    <w:rsid w:val="00655DB1"/>
    <w:rsid w:val="006563AD"/>
    <w:rsid w:val="00656D04"/>
    <w:rsid w:val="0066070F"/>
    <w:rsid w:val="006715A8"/>
    <w:rsid w:val="00674197"/>
    <w:rsid w:val="00674928"/>
    <w:rsid w:val="0067770F"/>
    <w:rsid w:val="006779AA"/>
    <w:rsid w:val="006840A0"/>
    <w:rsid w:val="00686B8A"/>
    <w:rsid w:val="00686BF3"/>
    <w:rsid w:val="006876FC"/>
    <w:rsid w:val="00687B48"/>
    <w:rsid w:val="006904DE"/>
    <w:rsid w:val="00691A04"/>
    <w:rsid w:val="00691A28"/>
    <w:rsid w:val="00693225"/>
    <w:rsid w:val="00693A19"/>
    <w:rsid w:val="006944D9"/>
    <w:rsid w:val="006A1682"/>
    <w:rsid w:val="006A28C0"/>
    <w:rsid w:val="006A2F15"/>
    <w:rsid w:val="006A5FCE"/>
    <w:rsid w:val="006A7F80"/>
    <w:rsid w:val="006C0B4D"/>
    <w:rsid w:val="006C216B"/>
    <w:rsid w:val="006C3264"/>
    <w:rsid w:val="006C3E39"/>
    <w:rsid w:val="006C658C"/>
    <w:rsid w:val="006D2324"/>
    <w:rsid w:val="006D31C4"/>
    <w:rsid w:val="006D3583"/>
    <w:rsid w:val="006D530A"/>
    <w:rsid w:val="006D6162"/>
    <w:rsid w:val="006D6507"/>
    <w:rsid w:val="006D6EC7"/>
    <w:rsid w:val="006D7FD3"/>
    <w:rsid w:val="006E3095"/>
    <w:rsid w:val="006E3C23"/>
    <w:rsid w:val="006E5C3D"/>
    <w:rsid w:val="006E5FCC"/>
    <w:rsid w:val="006E73BB"/>
    <w:rsid w:val="006E745E"/>
    <w:rsid w:val="006E7EF0"/>
    <w:rsid w:val="006F26A9"/>
    <w:rsid w:val="006F2C2E"/>
    <w:rsid w:val="006F38EA"/>
    <w:rsid w:val="006F3E1D"/>
    <w:rsid w:val="006F45C3"/>
    <w:rsid w:val="00701D7E"/>
    <w:rsid w:val="007021B6"/>
    <w:rsid w:val="00702A09"/>
    <w:rsid w:val="00707CAE"/>
    <w:rsid w:val="00710A34"/>
    <w:rsid w:val="0071157F"/>
    <w:rsid w:val="0071173B"/>
    <w:rsid w:val="00714E15"/>
    <w:rsid w:val="00715100"/>
    <w:rsid w:val="0071689B"/>
    <w:rsid w:val="00717ED3"/>
    <w:rsid w:val="00723299"/>
    <w:rsid w:val="0072468A"/>
    <w:rsid w:val="00727926"/>
    <w:rsid w:val="00730406"/>
    <w:rsid w:val="007307F5"/>
    <w:rsid w:val="00733FCC"/>
    <w:rsid w:val="00735082"/>
    <w:rsid w:val="00735A35"/>
    <w:rsid w:val="00736ACE"/>
    <w:rsid w:val="00742D59"/>
    <w:rsid w:val="00743446"/>
    <w:rsid w:val="0074690C"/>
    <w:rsid w:val="00750520"/>
    <w:rsid w:val="00752722"/>
    <w:rsid w:val="0075302C"/>
    <w:rsid w:val="00753871"/>
    <w:rsid w:val="00755C91"/>
    <w:rsid w:val="007574CE"/>
    <w:rsid w:val="00762D45"/>
    <w:rsid w:val="00763007"/>
    <w:rsid w:val="007637F8"/>
    <w:rsid w:val="0076530C"/>
    <w:rsid w:val="00771288"/>
    <w:rsid w:val="00771671"/>
    <w:rsid w:val="007739AF"/>
    <w:rsid w:val="00774705"/>
    <w:rsid w:val="007829CD"/>
    <w:rsid w:val="00782D27"/>
    <w:rsid w:val="00785726"/>
    <w:rsid w:val="00786C1B"/>
    <w:rsid w:val="007870A5"/>
    <w:rsid w:val="007916A9"/>
    <w:rsid w:val="00793C6F"/>
    <w:rsid w:val="00793CA4"/>
    <w:rsid w:val="00795CE9"/>
    <w:rsid w:val="00797EB5"/>
    <w:rsid w:val="007A0B50"/>
    <w:rsid w:val="007A22DB"/>
    <w:rsid w:val="007A2792"/>
    <w:rsid w:val="007A32B0"/>
    <w:rsid w:val="007A5EF0"/>
    <w:rsid w:val="007A5F91"/>
    <w:rsid w:val="007A7607"/>
    <w:rsid w:val="007B1100"/>
    <w:rsid w:val="007B285E"/>
    <w:rsid w:val="007B42BF"/>
    <w:rsid w:val="007B687F"/>
    <w:rsid w:val="007C0286"/>
    <w:rsid w:val="007C1A0D"/>
    <w:rsid w:val="007C49E8"/>
    <w:rsid w:val="007C7A40"/>
    <w:rsid w:val="007D06FE"/>
    <w:rsid w:val="007D0B4E"/>
    <w:rsid w:val="007D158D"/>
    <w:rsid w:val="007D4CA1"/>
    <w:rsid w:val="007D6D46"/>
    <w:rsid w:val="007E0199"/>
    <w:rsid w:val="007E41D4"/>
    <w:rsid w:val="007E4ED0"/>
    <w:rsid w:val="007E5412"/>
    <w:rsid w:val="007F1347"/>
    <w:rsid w:val="007F1D32"/>
    <w:rsid w:val="007F2E88"/>
    <w:rsid w:val="007F484B"/>
    <w:rsid w:val="008009FB"/>
    <w:rsid w:val="00800B4B"/>
    <w:rsid w:val="00800DC7"/>
    <w:rsid w:val="0080249D"/>
    <w:rsid w:val="00802A48"/>
    <w:rsid w:val="0080454C"/>
    <w:rsid w:val="008072FC"/>
    <w:rsid w:val="00810D91"/>
    <w:rsid w:val="00811096"/>
    <w:rsid w:val="00815CD2"/>
    <w:rsid w:val="008170B8"/>
    <w:rsid w:val="00817FB9"/>
    <w:rsid w:val="008213E9"/>
    <w:rsid w:val="008228A2"/>
    <w:rsid w:val="00823629"/>
    <w:rsid w:val="00827F83"/>
    <w:rsid w:val="008300B9"/>
    <w:rsid w:val="00832B36"/>
    <w:rsid w:val="00832CDD"/>
    <w:rsid w:val="00834249"/>
    <w:rsid w:val="0083468C"/>
    <w:rsid w:val="008409AF"/>
    <w:rsid w:val="00844375"/>
    <w:rsid w:val="00846CA8"/>
    <w:rsid w:val="00850B35"/>
    <w:rsid w:val="00852104"/>
    <w:rsid w:val="008535E6"/>
    <w:rsid w:val="008547D9"/>
    <w:rsid w:val="00854DC6"/>
    <w:rsid w:val="00857F39"/>
    <w:rsid w:val="00860C97"/>
    <w:rsid w:val="00865029"/>
    <w:rsid w:val="00871431"/>
    <w:rsid w:val="00873843"/>
    <w:rsid w:val="00874858"/>
    <w:rsid w:val="00875C92"/>
    <w:rsid w:val="00876E47"/>
    <w:rsid w:val="00880117"/>
    <w:rsid w:val="00883DE6"/>
    <w:rsid w:val="0088538F"/>
    <w:rsid w:val="008871BE"/>
    <w:rsid w:val="00887964"/>
    <w:rsid w:val="0089125C"/>
    <w:rsid w:val="00891593"/>
    <w:rsid w:val="0089237F"/>
    <w:rsid w:val="00897029"/>
    <w:rsid w:val="00897888"/>
    <w:rsid w:val="008A09B6"/>
    <w:rsid w:val="008A60D4"/>
    <w:rsid w:val="008A77B7"/>
    <w:rsid w:val="008A7C7D"/>
    <w:rsid w:val="008B09F5"/>
    <w:rsid w:val="008B2A14"/>
    <w:rsid w:val="008B3E0A"/>
    <w:rsid w:val="008B4D67"/>
    <w:rsid w:val="008B51B2"/>
    <w:rsid w:val="008B5250"/>
    <w:rsid w:val="008B6B75"/>
    <w:rsid w:val="008B7EF7"/>
    <w:rsid w:val="008C11FC"/>
    <w:rsid w:val="008C14B7"/>
    <w:rsid w:val="008C1767"/>
    <w:rsid w:val="008C2CD0"/>
    <w:rsid w:val="008C32BC"/>
    <w:rsid w:val="008C3B8D"/>
    <w:rsid w:val="008C4703"/>
    <w:rsid w:val="008C4A89"/>
    <w:rsid w:val="008C5C88"/>
    <w:rsid w:val="008C75C7"/>
    <w:rsid w:val="008D01FA"/>
    <w:rsid w:val="008D046C"/>
    <w:rsid w:val="008D1132"/>
    <w:rsid w:val="008D3A56"/>
    <w:rsid w:val="008D521C"/>
    <w:rsid w:val="008E1035"/>
    <w:rsid w:val="008E1777"/>
    <w:rsid w:val="008E2736"/>
    <w:rsid w:val="008E4A4C"/>
    <w:rsid w:val="008E6C24"/>
    <w:rsid w:val="008F1532"/>
    <w:rsid w:val="008F293A"/>
    <w:rsid w:val="008F2A96"/>
    <w:rsid w:val="008F2DE5"/>
    <w:rsid w:val="008F781B"/>
    <w:rsid w:val="00900AEC"/>
    <w:rsid w:val="00900CC6"/>
    <w:rsid w:val="0090297F"/>
    <w:rsid w:val="00904664"/>
    <w:rsid w:val="0090564C"/>
    <w:rsid w:val="009065B6"/>
    <w:rsid w:val="00906983"/>
    <w:rsid w:val="00907172"/>
    <w:rsid w:val="009132C8"/>
    <w:rsid w:val="009139C2"/>
    <w:rsid w:val="00913EA1"/>
    <w:rsid w:val="00915432"/>
    <w:rsid w:val="0091731E"/>
    <w:rsid w:val="00921FFD"/>
    <w:rsid w:val="00922946"/>
    <w:rsid w:val="00922A67"/>
    <w:rsid w:val="00922CB3"/>
    <w:rsid w:val="00923328"/>
    <w:rsid w:val="00923D36"/>
    <w:rsid w:val="0092480E"/>
    <w:rsid w:val="009259F6"/>
    <w:rsid w:val="00925DE0"/>
    <w:rsid w:val="009263F7"/>
    <w:rsid w:val="009275D5"/>
    <w:rsid w:val="00930D09"/>
    <w:rsid w:val="00932A49"/>
    <w:rsid w:val="00933C8B"/>
    <w:rsid w:val="00937850"/>
    <w:rsid w:val="00937B89"/>
    <w:rsid w:val="009413CF"/>
    <w:rsid w:val="0094264B"/>
    <w:rsid w:val="00942D82"/>
    <w:rsid w:val="00946FA9"/>
    <w:rsid w:val="00947B8F"/>
    <w:rsid w:val="00950399"/>
    <w:rsid w:val="00951753"/>
    <w:rsid w:val="0095232E"/>
    <w:rsid w:val="00954C08"/>
    <w:rsid w:val="00960861"/>
    <w:rsid w:val="00962F1F"/>
    <w:rsid w:val="00963A5A"/>
    <w:rsid w:val="009646B7"/>
    <w:rsid w:val="0096780D"/>
    <w:rsid w:val="00970E38"/>
    <w:rsid w:val="00972F17"/>
    <w:rsid w:val="00974EAE"/>
    <w:rsid w:val="009752F2"/>
    <w:rsid w:val="009753C4"/>
    <w:rsid w:val="00975B20"/>
    <w:rsid w:val="009812BC"/>
    <w:rsid w:val="00981A84"/>
    <w:rsid w:val="00981AA9"/>
    <w:rsid w:val="0098395A"/>
    <w:rsid w:val="009A32DF"/>
    <w:rsid w:val="009A36C7"/>
    <w:rsid w:val="009A4B39"/>
    <w:rsid w:val="009A513F"/>
    <w:rsid w:val="009A5761"/>
    <w:rsid w:val="009B1942"/>
    <w:rsid w:val="009B2323"/>
    <w:rsid w:val="009B35E9"/>
    <w:rsid w:val="009B43EC"/>
    <w:rsid w:val="009B7A6F"/>
    <w:rsid w:val="009B7D2A"/>
    <w:rsid w:val="009C1394"/>
    <w:rsid w:val="009C390B"/>
    <w:rsid w:val="009C4D8A"/>
    <w:rsid w:val="009D18A4"/>
    <w:rsid w:val="009D31DB"/>
    <w:rsid w:val="009D3C7C"/>
    <w:rsid w:val="009D6A25"/>
    <w:rsid w:val="009E0704"/>
    <w:rsid w:val="009E3B37"/>
    <w:rsid w:val="009F0EDE"/>
    <w:rsid w:val="009F2EA0"/>
    <w:rsid w:val="009F6783"/>
    <w:rsid w:val="00A026DD"/>
    <w:rsid w:val="00A03D9B"/>
    <w:rsid w:val="00A10534"/>
    <w:rsid w:val="00A112FC"/>
    <w:rsid w:val="00A11988"/>
    <w:rsid w:val="00A15D27"/>
    <w:rsid w:val="00A1651D"/>
    <w:rsid w:val="00A16F20"/>
    <w:rsid w:val="00A17307"/>
    <w:rsid w:val="00A176AB"/>
    <w:rsid w:val="00A217AD"/>
    <w:rsid w:val="00A24ABE"/>
    <w:rsid w:val="00A25DA6"/>
    <w:rsid w:val="00A3193C"/>
    <w:rsid w:val="00A333AF"/>
    <w:rsid w:val="00A3506E"/>
    <w:rsid w:val="00A35B92"/>
    <w:rsid w:val="00A37A65"/>
    <w:rsid w:val="00A37F1C"/>
    <w:rsid w:val="00A42F74"/>
    <w:rsid w:val="00A43070"/>
    <w:rsid w:val="00A45594"/>
    <w:rsid w:val="00A45B93"/>
    <w:rsid w:val="00A51246"/>
    <w:rsid w:val="00A53FEA"/>
    <w:rsid w:val="00A54363"/>
    <w:rsid w:val="00A57D5C"/>
    <w:rsid w:val="00A619DB"/>
    <w:rsid w:val="00A61B21"/>
    <w:rsid w:val="00A6550E"/>
    <w:rsid w:val="00A70AA7"/>
    <w:rsid w:val="00A72137"/>
    <w:rsid w:val="00A7256C"/>
    <w:rsid w:val="00A72EC9"/>
    <w:rsid w:val="00A72F21"/>
    <w:rsid w:val="00A739E8"/>
    <w:rsid w:val="00A73C9E"/>
    <w:rsid w:val="00A7530E"/>
    <w:rsid w:val="00A76F47"/>
    <w:rsid w:val="00A81D13"/>
    <w:rsid w:val="00A82CAC"/>
    <w:rsid w:val="00A85AEE"/>
    <w:rsid w:val="00A865DC"/>
    <w:rsid w:val="00A86BF3"/>
    <w:rsid w:val="00A9153E"/>
    <w:rsid w:val="00A9276A"/>
    <w:rsid w:val="00A94075"/>
    <w:rsid w:val="00A96990"/>
    <w:rsid w:val="00A9703B"/>
    <w:rsid w:val="00AA258D"/>
    <w:rsid w:val="00AA42CA"/>
    <w:rsid w:val="00AB23B8"/>
    <w:rsid w:val="00AB2BD5"/>
    <w:rsid w:val="00AB3018"/>
    <w:rsid w:val="00AB324E"/>
    <w:rsid w:val="00AB4974"/>
    <w:rsid w:val="00AB4D4B"/>
    <w:rsid w:val="00AB6D73"/>
    <w:rsid w:val="00AB6E2E"/>
    <w:rsid w:val="00AB7005"/>
    <w:rsid w:val="00AB7B2B"/>
    <w:rsid w:val="00AB7B93"/>
    <w:rsid w:val="00AC0526"/>
    <w:rsid w:val="00AC095D"/>
    <w:rsid w:val="00AC2786"/>
    <w:rsid w:val="00AC2E7C"/>
    <w:rsid w:val="00AC7D8D"/>
    <w:rsid w:val="00AD13A2"/>
    <w:rsid w:val="00AD16F7"/>
    <w:rsid w:val="00AD182C"/>
    <w:rsid w:val="00AD3027"/>
    <w:rsid w:val="00AD6E07"/>
    <w:rsid w:val="00AD78D9"/>
    <w:rsid w:val="00AE18D2"/>
    <w:rsid w:val="00AE4BAF"/>
    <w:rsid w:val="00AE76D5"/>
    <w:rsid w:val="00AE7F0A"/>
    <w:rsid w:val="00AF3595"/>
    <w:rsid w:val="00AF380A"/>
    <w:rsid w:val="00AF43DF"/>
    <w:rsid w:val="00AF5121"/>
    <w:rsid w:val="00AF71D3"/>
    <w:rsid w:val="00B02D29"/>
    <w:rsid w:val="00B03944"/>
    <w:rsid w:val="00B05BFA"/>
    <w:rsid w:val="00B06175"/>
    <w:rsid w:val="00B07379"/>
    <w:rsid w:val="00B0744E"/>
    <w:rsid w:val="00B125AA"/>
    <w:rsid w:val="00B14218"/>
    <w:rsid w:val="00B15521"/>
    <w:rsid w:val="00B20A32"/>
    <w:rsid w:val="00B22DFE"/>
    <w:rsid w:val="00B2303B"/>
    <w:rsid w:val="00B2306A"/>
    <w:rsid w:val="00B2334A"/>
    <w:rsid w:val="00B23DDD"/>
    <w:rsid w:val="00B30A8F"/>
    <w:rsid w:val="00B320B6"/>
    <w:rsid w:val="00B32732"/>
    <w:rsid w:val="00B406A0"/>
    <w:rsid w:val="00B41CB6"/>
    <w:rsid w:val="00B4362E"/>
    <w:rsid w:val="00B44945"/>
    <w:rsid w:val="00B459B8"/>
    <w:rsid w:val="00B45A90"/>
    <w:rsid w:val="00B466DB"/>
    <w:rsid w:val="00B47134"/>
    <w:rsid w:val="00B47AC4"/>
    <w:rsid w:val="00B51AE8"/>
    <w:rsid w:val="00B534FA"/>
    <w:rsid w:val="00B54388"/>
    <w:rsid w:val="00B649DB"/>
    <w:rsid w:val="00B66227"/>
    <w:rsid w:val="00B70ECF"/>
    <w:rsid w:val="00B73259"/>
    <w:rsid w:val="00B8004D"/>
    <w:rsid w:val="00B83A0F"/>
    <w:rsid w:val="00B86AF9"/>
    <w:rsid w:val="00B87E0E"/>
    <w:rsid w:val="00B904D6"/>
    <w:rsid w:val="00B9206B"/>
    <w:rsid w:val="00B928B3"/>
    <w:rsid w:val="00B92CF6"/>
    <w:rsid w:val="00B93043"/>
    <w:rsid w:val="00B9391A"/>
    <w:rsid w:val="00B95156"/>
    <w:rsid w:val="00B9574E"/>
    <w:rsid w:val="00B95F1C"/>
    <w:rsid w:val="00B97213"/>
    <w:rsid w:val="00B9774B"/>
    <w:rsid w:val="00BA3146"/>
    <w:rsid w:val="00BA3773"/>
    <w:rsid w:val="00BA3F15"/>
    <w:rsid w:val="00BA4953"/>
    <w:rsid w:val="00BA60A1"/>
    <w:rsid w:val="00BB0479"/>
    <w:rsid w:val="00BB3B68"/>
    <w:rsid w:val="00BB489C"/>
    <w:rsid w:val="00BB4E19"/>
    <w:rsid w:val="00BB72BD"/>
    <w:rsid w:val="00BB78A3"/>
    <w:rsid w:val="00BC0CA5"/>
    <w:rsid w:val="00BC1586"/>
    <w:rsid w:val="00BC4624"/>
    <w:rsid w:val="00BC5377"/>
    <w:rsid w:val="00BC6C15"/>
    <w:rsid w:val="00BD00DE"/>
    <w:rsid w:val="00BD1DBD"/>
    <w:rsid w:val="00BD36EF"/>
    <w:rsid w:val="00BD4E11"/>
    <w:rsid w:val="00BE1993"/>
    <w:rsid w:val="00BE42E2"/>
    <w:rsid w:val="00BE55A3"/>
    <w:rsid w:val="00BE5A70"/>
    <w:rsid w:val="00BF01B0"/>
    <w:rsid w:val="00BF1EBB"/>
    <w:rsid w:val="00BF3283"/>
    <w:rsid w:val="00BF32AC"/>
    <w:rsid w:val="00BF404C"/>
    <w:rsid w:val="00BF4BF1"/>
    <w:rsid w:val="00BF4E3A"/>
    <w:rsid w:val="00BF6C42"/>
    <w:rsid w:val="00BF7846"/>
    <w:rsid w:val="00C015A0"/>
    <w:rsid w:val="00C03BCA"/>
    <w:rsid w:val="00C042D1"/>
    <w:rsid w:val="00C07B74"/>
    <w:rsid w:val="00C07CE2"/>
    <w:rsid w:val="00C07E24"/>
    <w:rsid w:val="00C103E2"/>
    <w:rsid w:val="00C11C43"/>
    <w:rsid w:val="00C145E7"/>
    <w:rsid w:val="00C14896"/>
    <w:rsid w:val="00C1696A"/>
    <w:rsid w:val="00C16EFC"/>
    <w:rsid w:val="00C175D7"/>
    <w:rsid w:val="00C2009F"/>
    <w:rsid w:val="00C207B6"/>
    <w:rsid w:val="00C20E3D"/>
    <w:rsid w:val="00C23AFD"/>
    <w:rsid w:val="00C24153"/>
    <w:rsid w:val="00C24A10"/>
    <w:rsid w:val="00C25A75"/>
    <w:rsid w:val="00C25BCC"/>
    <w:rsid w:val="00C26CE1"/>
    <w:rsid w:val="00C30FCC"/>
    <w:rsid w:val="00C330D5"/>
    <w:rsid w:val="00C35BBB"/>
    <w:rsid w:val="00C407EE"/>
    <w:rsid w:val="00C45060"/>
    <w:rsid w:val="00C46567"/>
    <w:rsid w:val="00C46680"/>
    <w:rsid w:val="00C51FD6"/>
    <w:rsid w:val="00C557E6"/>
    <w:rsid w:val="00C56FC2"/>
    <w:rsid w:val="00C620FB"/>
    <w:rsid w:val="00C6287C"/>
    <w:rsid w:val="00C632A2"/>
    <w:rsid w:val="00C64F99"/>
    <w:rsid w:val="00C674C3"/>
    <w:rsid w:val="00C676F5"/>
    <w:rsid w:val="00C72228"/>
    <w:rsid w:val="00C7334E"/>
    <w:rsid w:val="00C735A8"/>
    <w:rsid w:val="00C7469F"/>
    <w:rsid w:val="00C779AF"/>
    <w:rsid w:val="00C77DA2"/>
    <w:rsid w:val="00C8016D"/>
    <w:rsid w:val="00C80AEA"/>
    <w:rsid w:val="00C80EC0"/>
    <w:rsid w:val="00C83F7B"/>
    <w:rsid w:val="00C844AC"/>
    <w:rsid w:val="00C84EE1"/>
    <w:rsid w:val="00C860A1"/>
    <w:rsid w:val="00C9190A"/>
    <w:rsid w:val="00C92956"/>
    <w:rsid w:val="00C93A0C"/>
    <w:rsid w:val="00C9400E"/>
    <w:rsid w:val="00C97CA6"/>
    <w:rsid w:val="00CA1DDC"/>
    <w:rsid w:val="00CA5994"/>
    <w:rsid w:val="00CA66F0"/>
    <w:rsid w:val="00CA7DA1"/>
    <w:rsid w:val="00CB1699"/>
    <w:rsid w:val="00CB5A6E"/>
    <w:rsid w:val="00CB5E98"/>
    <w:rsid w:val="00CC00EB"/>
    <w:rsid w:val="00CC0925"/>
    <w:rsid w:val="00CC273B"/>
    <w:rsid w:val="00CC2F97"/>
    <w:rsid w:val="00CC366B"/>
    <w:rsid w:val="00CC7404"/>
    <w:rsid w:val="00CC7E23"/>
    <w:rsid w:val="00CD0203"/>
    <w:rsid w:val="00CD162F"/>
    <w:rsid w:val="00CD1B59"/>
    <w:rsid w:val="00CD1B63"/>
    <w:rsid w:val="00CD4165"/>
    <w:rsid w:val="00CD48BA"/>
    <w:rsid w:val="00CD5A52"/>
    <w:rsid w:val="00CE4842"/>
    <w:rsid w:val="00CE5354"/>
    <w:rsid w:val="00CE58B1"/>
    <w:rsid w:val="00CE73ED"/>
    <w:rsid w:val="00CF1832"/>
    <w:rsid w:val="00CF3AB4"/>
    <w:rsid w:val="00CF623D"/>
    <w:rsid w:val="00CF6A77"/>
    <w:rsid w:val="00CF7415"/>
    <w:rsid w:val="00D015D3"/>
    <w:rsid w:val="00D03151"/>
    <w:rsid w:val="00D05D83"/>
    <w:rsid w:val="00D074C1"/>
    <w:rsid w:val="00D0792A"/>
    <w:rsid w:val="00D10D6C"/>
    <w:rsid w:val="00D14D18"/>
    <w:rsid w:val="00D2168D"/>
    <w:rsid w:val="00D218F8"/>
    <w:rsid w:val="00D238DF"/>
    <w:rsid w:val="00D24FEE"/>
    <w:rsid w:val="00D3000A"/>
    <w:rsid w:val="00D31EF0"/>
    <w:rsid w:val="00D31EFD"/>
    <w:rsid w:val="00D33681"/>
    <w:rsid w:val="00D362D9"/>
    <w:rsid w:val="00D36995"/>
    <w:rsid w:val="00D373E7"/>
    <w:rsid w:val="00D4253E"/>
    <w:rsid w:val="00D42A52"/>
    <w:rsid w:val="00D43616"/>
    <w:rsid w:val="00D44B0B"/>
    <w:rsid w:val="00D44CB8"/>
    <w:rsid w:val="00D45783"/>
    <w:rsid w:val="00D45B1A"/>
    <w:rsid w:val="00D47835"/>
    <w:rsid w:val="00D51203"/>
    <w:rsid w:val="00D57B03"/>
    <w:rsid w:val="00D62DC0"/>
    <w:rsid w:val="00D6411C"/>
    <w:rsid w:val="00D6441D"/>
    <w:rsid w:val="00D66470"/>
    <w:rsid w:val="00D66693"/>
    <w:rsid w:val="00D67D3D"/>
    <w:rsid w:val="00D71FDD"/>
    <w:rsid w:val="00D72511"/>
    <w:rsid w:val="00D7310D"/>
    <w:rsid w:val="00D73803"/>
    <w:rsid w:val="00D76C65"/>
    <w:rsid w:val="00D80335"/>
    <w:rsid w:val="00D8298D"/>
    <w:rsid w:val="00D86077"/>
    <w:rsid w:val="00D87119"/>
    <w:rsid w:val="00D9084C"/>
    <w:rsid w:val="00D91B6B"/>
    <w:rsid w:val="00D91CE2"/>
    <w:rsid w:val="00D92097"/>
    <w:rsid w:val="00D97438"/>
    <w:rsid w:val="00D97B04"/>
    <w:rsid w:val="00DA3CB3"/>
    <w:rsid w:val="00DB289C"/>
    <w:rsid w:val="00DB36BD"/>
    <w:rsid w:val="00DB7779"/>
    <w:rsid w:val="00DC1685"/>
    <w:rsid w:val="00DC4D5F"/>
    <w:rsid w:val="00DC4FB9"/>
    <w:rsid w:val="00DC500A"/>
    <w:rsid w:val="00DC5823"/>
    <w:rsid w:val="00DC633F"/>
    <w:rsid w:val="00DC66B5"/>
    <w:rsid w:val="00DD07B3"/>
    <w:rsid w:val="00DD0F8B"/>
    <w:rsid w:val="00DD2437"/>
    <w:rsid w:val="00DD3982"/>
    <w:rsid w:val="00DD48BD"/>
    <w:rsid w:val="00DD644E"/>
    <w:rsid w:val="00DE1E84"/>
    <w:rsid w:val="00DE2FB3"/>
    <w:rsid w:val="00DE5BA1"/>
    <w:rsid w:val="00DE74A1"/>
    <w:rsid w:val="00DF063D"/>
    <w:rsid w:val="00DF469E"/>
    <w:rsid w:val="00DF6AAA"/>
    <w:rsid w:val="00DF775A"/>
    <w:rsid w:val="00E0056C"/>
    <w:rsid w:val="00E00F63"/>
    <w:rsid w:val="00E01456"/>
    <w:rsid w:val="00E0158C"/>
    <w:rsid w:val="00E023B8"/>
    <w:rsid w:val="00E03D10"/>
    <w:rsid w:val="00E03FA5"/>
    <w:rsid w:val="00E047D2"/>
    <w:rsid w:val="00E04A45"/>
    <w:rsid w:val="00E13C24"/>
    <w:rsid w:val="00E17BE8"/>
    <w:rsid w:val="00E2009A"/>
    <w:rsid w:val="00E20782"/>
    <w:rsid w:val="00E21C12"/>
    <w:rsid w:val="00E220F5"/>
    <w:rsid w:val="00E24163"/>
    <w:rsid w:val="00E25706"/>
    <w:rsid w:val="00E30D8A"/>
    <w:rsid w:val="00E32DE5"/>
    <w:rsid w:val="00E3585B"/>
    <w:rsid w:val="00E35C4B"/>
    <w:rsid w:val="00E4043E"/>
    <w:rsid w:val="00E42100"/>
    <w:rsid w:val="00E47625"/>
    <w:rsid w:val="00E50AA4"/>
    <w:rsid w:val="00E51A0B"/>
    <w:rsid w:val="00E51EA1"/>
    <w:rsid w:val="00E55CDA"/>
    <w:rsid w:val="00E56301"/>
    <w:rsid w:val="00E61F37"/>
    <w:rsid w:val="00E62276"/>
    <w:rsid w:val="00E642DD"/>
    <w:rsid w:val="00E64D38"/>
    <w:rsid w:val="00E677F0"/>
    <w:rsid w:val="00E70D59"/>
    <w:rsid w:val="00E721F1"/>
    <w:rsid w:val="00E724FB"/>
    <w:rsid w:val="00E73608"/>
    <w:rsid w:val="00E73D1E"/>
    <w:rsid w:val="00E75032"/>
    <w:rsid w:val="00E810D2"/>
    <w:rsid w:val="00E81227"/>
    <w:rsid w:val="00E815DD"/>
    <w:rsid w:val="00E81964"/>
    <w:rsid w:val="00E82A31"/>
    <w:rsid w:val="00E832C0"/>
    <w:rsid w:val="00E83759"/>
    <w:rsid w:val="00E845A7"/>
    <w:rsid w:val="00E85153"/>
    <w:rsid w:val="00E91578"/>
    <w:rsid w:val="00E936F3"/>
    <w:rsid w:val="00E9518B"/>
    <w:rsid w:val="00E957C0"/>
    <w:rsid w:val="00E9751A"/>
    <w:rsid w:val="00EA26A3"/>
    <w:rsid w:val="00EA61F9"/>
    <w:rsid w:val="00EB102C"/>
    <w:rsid w:val="00EB2384"/>
    <w:rsid w:val="00EC06A1"/>
    <w:rsid w:val="00EC0A94"/>
    <w:rsid w:val="00EC4CAF"/>
    <w:rsid w:val="00ED09E8"/>
    <w:rsid w:val="00ED1350"/>
    <w:rsid w:val="00ED1A8E"/>
    <w:rsid w:val="00ED276C"/>
    <w:rsid w:val="00ED5144"/>
    <w:rsid w:val="00ED55E1"/>
    <w:rsid w:val="00ED5B92"/>
    <w:rsid w:val="00ED6468"/>
    <w:rsid w:val="00EE0FEC"/>
    <w:rsid w:val="00EE4A1B"/>
    <w:rsid w:val="00EF0001"/>
    <w:rsid w:val="00EF0062"/>
    <w:rsid w:val="00EF1080"/>
    <w:rsid w:val="00EF1615"/>
    <w:rsid w:val="00EF312A"/>
    <w:rsid w:val="00EF4E6A"/>
    <w:rsid w:val="00EF65EB"/>
    <w:rsid w:val="00EF6C99"/>
    <w:rsid w:val="00F0043C"/>
    <w:rsid w:val="00F009E5"/>
    <w:rsid w:val="00F00FF9"/>
    <w:rsid w:val="00F01E54"/>
    <w:rsid w:val="00F02011"/>
    <w:rsid w:val="00F027A2"/>
    <w:rsid w:val="00F04DA5"/>
    <w:rsid w:val="00F07C2B"/>
    <w:rsid w:val="00F07E69"/>
    <w:rsid w:val="00F113AF"/>
    <w:rsid w:val="00F1158F"/>
    <w:rsid w:val="00F120F8"/>
    <w:rsid w:val="00F22933"/>
    <w:rsid w:val="00F23150"/>
    <w:rsid w:val="00F24A78"/>
    <w:rsid w:val="00F26030"/>
    <w:rsid w:val="00F2679F"/>
    <w:rsid w:val="00F26F99"/>
    <w:rsid w:val="00F27273"/>
    <w:rsid w:val="00F30A9A"/>
    <w:rsid w:val="00F31F6A"/>
    <w:rsid w:val="00F32975"/>
    <w:rsid w:val="00F335B1"/>
    <w:rsid w:val="00F362F8"/>
    <w:rsid w:val="00F4101C"/>
    <w:rsid w:val="00F41318"/>
    <w:rsid w:val="00F4371E"/>
    <w:rsid w:val="00F52103"/>
    <w:rsid w:val="00F53A70"/>
    <w:rsid w:val="00F54A0E"/>
    <w:rsid w:val="00F56DF1"/>
    <w:rsid w:val="00F57099"/>
    <w:rsid w:val="00F64042"/>
    <w:rsid w:val="00F64145"/>
    <w:rsid w:val="00F64E8F"/>
    <w:rsid w:val="00F656BE"/>
    <w:rsid w:val="00F7192E"/>
    <w:rsid w:val="00F71FE6"/>
    <w:rsid w:val="00F731F7"/>
    <w:rsid w:val="00F734F4"/>
    <w:rsid w:val="00F7662B"/>
    <w:rsid w:val="00F80995"/>
    <w:rsid w:val="00F80B31"/>
    <w:rsid w:val="00F8212A"/>
    <w:rsid w:val="00F83D32"/>
    <w:rsid w:val="00F84B2C"/>
    <w:rsid w:val="00F95349"/>
    <w:rsid w:val="00F962C8"/>
    <w:rsid w:val="00F96C72"/>
    <w:rsid w:val="00F96DFD"/>
    <w:rsid w:val="00FA3C21"/>
    <w:rsid w:val="00FA5D79"/>
    <w:rsid w:val="00FA5F35"/>
    <w:rsid w:val="00FA7A6F"/>
    <w:rsid w:val="00FB02DB"/>
    <w:rsid w:val="00FB058F"/>
    <w:rsid w:val="00FB2C10"/>
    <w:rsid w:val="00FB2CB1"/>
    <w:rsid w:val="00FB45F3"/>
    <w:rsid w:val="00FB4816"/>
    <w:rsid w:val="00FB5FCE"/>
    <w:rsid w:val="00FB6D75"/>
    <w:rsid w:val="00FC03C3"/>
    <w:rsid w:val="00FD0044"/>
    <w:rsid w:val="00FD007E"/>
    <w:rsid w:val="00FD0B20"/>
    <w:rsid w:val="00FD22D0"/>
    <w:rsid w:val="00FD3385"/>
    <w:rsid w:val="00FD3FF4"/>
    <w:rsid w:val="00FE28DB"/>
    <w:rsid w:val="00FE45FA"/>
    <w:rsid w:val="00FE5ABC"/>
    <w:rsid w:val="00FE6B46"/>
    <w:rsid w:val="00FF26EB"/>
    <w:rsid w:val="00FF4C80"/>
    <w:rsid w:val="00FF6048"/>
    <w:rsid w:val="00FF77DC"/>
    <w:rsid w:val="00FF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084A8"/>
  <w15:docId w15:val="{5A555E60-F32B-4778-B73A-197CCA1B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47AC4"/>
    <w:pPr>
      <w:widowControl w:val="0"/>
      <w:autoSpaceDE w:val="0"/>
      <w:autoSpaceDN w:val="0"/>
      <w:spacing w:before="119" w:after="0" w:line="240" w:lineRule="auto"/>
      <w:ind w:left="101"/>
      <w:outlineLvl w:val="0"/>
    </w:pPr>
    <w:rPr>
      <w:rFonts w:ascii="Calibri" w:eastAsia="Calibri" w:hAnsi="Calibri" w:cs="Calibri"/>
      <w:b/>
      <w:bCs/>
      <w:lang w:val="en-US" w:bidi="en-US"/>
    </w:rPr>
  </w:style>
  <w:style w:type="paragraph" w:styleId="Heading2">
    <w:name w:val="heading 2"/>
    <w:basedOn w:val="Normal"/>
    <w:next w:val="Normal"/>
    <w:link w:val="Heading2Char"/>
    <w:uiPriority w:val="9"/>
    <w:unhideWhenUsed/>
    <w:qFormat/>
    <w:rsid w:val="007F2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6F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7AC4"/>
    <w:rPr>
      <w:rFonts w:ascii="Calibri" w:eastAsia="Calibri" w:hAnsi="Calibri" w:cs="Calibri"/>
      <w:b/>
      <w:bCs/>
      <w:lang w:val="en-US" w:bidi="en-US"/>
    </w:rPr>
  </w:style>
  <w:style w:type="paragraph" w:styleId="Header">
    <w:name w:val="header"/>
    <w:basedOn w:val="Normal"/>
    <w:link w:val="HeaderChar"/>
    <w:uiPriority w:val="99"/>
    <w:unhideWhenUsed/>
    <w:rsid w:val="00782D27"/>
    <w:pPr>
      <w:tabs>
        <w:tab w:val="center" w:pos="4677"/>
        <w:tab w:val="right" w:pos="9355"/>
      </w:tabs>
      <w:spacing w:after="0" w:line="240" w:lineRule="auto"/>
    </w:pPr>
  </w:style>
  <w:style w:type="character" w:customStyle="1" w:styleId="HeaderChar">
    <w:name w:val="Header Char"/>
    <w:basedOn w:val="DefaultParagraphFont"/>
    <w:link w:val="Header"/>
    <w:uiPriority w:val="99"/>
    <w:rsid w:val="00782D27"/>
  </w:style>
  <w:style w:type="paragraph" w:styleId="Footer">
    <w:name w:val="footer"/>
    <w:basedOn w:val="Normal"/>
    <w:link w:val="FooterChar"/>
    <w:uiPriority w:val="99"/>
    <w:unhideWhenUsed/>
    <w:rsid w:val="00782D27"/>
    <w:pPr>
      <w:tabs>
        <w:tab w:val="center" w:pos="4677"/>
        <w:tab w:val="right" w:pos="9355"/>
      </w:tabs>
      <w:spacing w:after="0" w:line="240" w:lineRule="auto"/>
    </w:pPr>
  </w:style>
  <w:style w:type="character" w:customStyle="1" w:styleId="FooterChar">
    <w:name w:val="Footer Char"/>
    <w:basedOn w:val="DefaultParagraphFont"/>
    <w:link w:val="Footer"/>
    <w:uiPriority w:val="99"/>
    <w:rsid w:val="00782D27"/>
  </w:style>
  <w:style w:type="paragraph" w:styleId="NormalWeb">
    <w:name w:val="Normal (Web)"/>
    <w:basedOn w:val="Normal"/>
    <w:uiPriority w:val="99"/>
    <w:unhideWhenUsed/>
    <w:rsid w:val="002452A1"/>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paragraph" w:styleId="ListParagraph">
    <w:name w:val="List Paragraph"/>
    <w:aliases w:val="List Paragraph (numbered (a)),List Paragraph1,Akapit z listą BS,WB Para,Bullet1,Normal 1,List Paragraph 1,NumberedParas,Lapis Bulleted List,Bullet OFM,List Paragraph in table,Table of contents numbered,Bullet list,Normal bullet 2,b1"/>
    <w:basedOn w:val="Normal"/>
    <w:link w:val="ListParagraphChar"/>
    <w:uiPriority w:val="34"/>
    <w:qFormat/>
    <w:rsid w:val="00F02011"/>
    <w:pPr>
      <w:ind w:left="720"/>
      <w:contextualSpacing/>
    </w:p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Bullet OFM Char,List Paragraph in table Char"/>
    <w:link w:val="ListParagraph"/>
    <w:uiPriority w:val="34"/>
    <w:qFormat/>
    <w:locked/>
    <w:rsid w:val="00F362F8"/>
  </w:style>
  <w:style w:type="paragraph" w:customStyle="1" w:styleId="LO-normal">
    <w:name w:val="LO-normal"/>
    <w:qFormat/>
    <w:rsid w:val="00194115"/>
    <w:pPr>
      <w:spacing w:after="0" w:line="240" w:lineRule="auto"/>
    </w:pPr>
    <w:rPr>
      <w:rFonts w:ascii="Calibri" w:eastAsia="Calibri" w:hAnsi="Calibri" w:cs="Calibri"/>
      <w:color w:val="00000A"/>
      <w:lang w:val="en-GB" w:eastAsia="zh-CN" w:bidi="hi-IN"/>
    </w:rPr>
  </w:style>
  <w:style w:type="character" w:styleId="CommentReference">
    <w:name w:val="annotation reference"/>
    <w:basedOn w:val="DefaultParagraphFont"/>
    <w:uiPriority w:val="99"/>
    <w:semiHidden/>
    <w:unhideWhenUsed/>
    <w:rsid w:val="002B6DDB"/>
    <w:rPr>
      <w:sz w:val="16"/>
      <w:szCs w:val="16"/>
    </w:rPr>
  </w:style>
  <w:style w:type="paragraph" w:styleId="CommentText">
    <w:name w:val="annotation text"/>
    <w:basedOn w:val="Normal"/>
    <w:link w:val="CommentTextChar"/>
    <w:uiPriority w:val="99"/>
    <w:semiHidden/>
    <w:unhideWhenUsed/>
    <w:rsid w:val="002B6DDB"/>
    <w:pPr>
      <w:spacing w:line="240" w:lineRule="auto"/>
    </w:pPr>
    <w:rPr>
      <w:sz w:val="20"/>
      <w:szCs w:val="20"/>
    </w:rPr>
  </w:style>
  <w:style w:type="character" w:customStyle="1" w:styleId="CommentTextChar">
    <w:name w:val="Comment Text Char"/>
    <w:basedOn w:val="DefaultParagraphFont"/>
    <w:link w:val="CommentText"/>
    <w:uiPriority w:val="99"/>
    <w:semiHidden/>
    <w:rsid w:val="002B6DDB"/>
    <w:rPr>
      <w:sz w:val="20"/>
      <w:szCs w:val="20"/>
    </w:rPr>
  </w:style>
  <w:style w:type="paragraph" w:styleId="CommentSubject">
    <w:name w:val="annotation subject"/>
    <w:basedOn w:val="CommentText"/>
    <w:next w:val="CommentText"/>
    <w:link w:val="CommentSubjectChar"/>
    <w:uiPriority w:val="99"/>
    <w:semiHidden/>
    <w:unhideWhenUsed/>
    <w:rsid w:val="002B6DDB"/>
    <w:rPr>
      <w:b/>
      <w:bCs/>
    </w:rPr>
  </w:style>
  <w:style w:type="character" w:customStyle="1" w:styleId="CommentSubjectChar">
    <w:name w:val="Comment Subject Char"/>
    <w:basedOn w:val="CommentTextChar"/>
    <w:link w:val="CommentSubject"/>
    <w:uiPriority w:val="99"/>
    <w:semiHidden/>
    <w:rsid w:val="002B6DDB"/>
    <w:rPr>
      <w:b/>
      <w:bCs/>
      <w:sz w:val="20"/>
      <w:szCs w:val="20"/>
    </w:rPr>
  </w:style>
  <w:style w:type="paragraph" w:styleId="BalloonText">
    <w:name w:val="Balloon Text"/>
    <w:basedOn w:val="Normal"/>
    <w:link w:val="BalloonTextChar"/>
    <w:uiPriority w:val="99"/>
    <w:semiHidden/>
    <w:unhideWhenUsed/>
    <w:rsid w:val="002B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DB"/>
    <w:rPr>
      <w:rFonts w:ascii="Segoe UI" w:hAnsi="Segoe UI" w:cs="Segoe UI"/>
      <w:sz w:val="18"/>
      <w:szCs w:val="18"/>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Char,5_G,A"/>
    <w:basedOn w:val="Normal"/>
    <w:link w:val="FootnoteTextChar"/>
    <w:uiPriority w:val="99"/>
    <w:semiHidden/>
    <w:unhideWhenUsed/>
    <w:qFormat/>
    <w:rsid w:val="00AB4D4B"/>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semiHidden/>
    <w:qFormat/>
    <w:rsid w:val="00AB4D4B"/>
    <w:rPr>
      <w:sz w:val="20"/>
      <w:szCs w:val="20"/>
    </w:rPr>
  </w:style>
  <w:style w:type="character" w:styleId="FootnoteReference">
    <w:name w:val="footnote reference"/>
    <w:aliases w:val="4_G,Footnote Reference1,BVI fnr Char Char Char1 Char,16 Point Char Char Char1 Char,Superscript 6 Point Char Char Char1 Char,nota pié di pagina Char Char Char1 Char,Times 10 Point Char Char Char1 Char,ftref Char,BVI fnr Char"/>
    <w:basedOn w:val="DefaultParagraphFont"/>
    <w:link w:val="BVIfnrCharCharChar1"/>
    <w:uiPriority w:val="99"/>
    <w:unhideWhenUsed/>
    <w:qFormat/>
    <w:rsid w:val="00AB4D4B"/>
    <w:rPr>
      <w:vertAlign w:val="superscript"/>
    </w:rPr>
  </w:style>
  <w:style w:type="character" w:customStyle="1" w:styleId="fontstyle01">
    <w:name w:val="fontstyle01"/>
    <w:basedOn w:val="DefaultParagraphFont"/>
    <w:rsid w:val="00CC2F97"/>
    <w:rPr>
      <w:rFonts w:ascii="Calibri" w:hAnsi="Calibri" w:cs="Calibri" w:hint="default"/>
      <w:b/>
      <w:bCs/>
      <w:i w:val="0"/>
      <w:iCs w:val="0"/>
      <w:color w:val="000000"/>
      <w:sz w:val="22"/>
      <w:szCs w:val="22"/>
    </w:rPr>
  </w:style>
  <w:style w:type="paragraph" w:customStyle="1" w:styleId="TableParagraph">
    <w:name w:val="Table Paragraph"/>
    <w:basedOn w:val="Normal"/>
    <w:uiPriority w:val="1"/>
    <w:qFormat/>
    <w:rsid w:val="002F4DC3"/>
    <w:pPr>
      <w:widowControl w:val="0"/>
      <w:autoSpaceDE w:val="0"/>
      <w:autoSpaceDN w:val="0"/>
      <w:spacing w:after="0" w:line="268" w:lineRule="exact"/>
      <w:ind w:left="108"/>
    </w:pPr>
    <w:rPr>
      <w:rFonts w:ascii="Calibri" w:eastAsia="Calibri" w:hAnsi="Calibri" w:cs="Calibri"/>
      <w:lang w:val="en-US" w:bidi="en-US"/>
    </w:rPr>
  </w:style>
  <w:style w:type="paragraph" w:styleId="BodyText">
    <w:name w:val="Body Text"/>
    <w:basedOn w:val="Normal"/>
    <w:link w:val="BodyTextChar"/>
    <w:uiPriority w:val="1"/>
    <w:qFormat/>
    <w:rsid w:val="00B47AC4"/>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rsid w:val="00B47AC4"/>
    <w:rPr>
      <w:rFonts w:ascii="Calibri" w:eastAsia="Calibri" w:hAnsi="Calibri" w:cs="Calibri"/>
      <w:lang w:val="en-US" w:bidi="en-US"/>
    </w:rPr>
  </w:style>
  <w:style w:type="table" w:styleId="TableGrid">
    <w:name w:val="Table Grid"/>
    <w:basedOn w:val="TableNormal"/>
    <w:uiPriority w:val="39"/>
    <w:rsid w:val="007E4E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242B2"/>
    <w:rPr>
      <w:color w:val="0000FF"/>
      <w:u w:val="single"/>
    </w:rPr>
  </w:style>
  <w:style w:type="paragraph" w:styleId="PlainText">
    <w:name w:val="Plain Text"/>
    <w:basedOn w:val="Normal"/>
    <w:link w:val="PlainTextChar"/>
    <w:uiPriority w:val="99"/>
    <w:unhideWhenUsed/>
    <w:rsid w:val="003242B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3242B2"/>
    <w:rPr>
      <w:rFonts w:ascii="Calibri" w:hAnsi="Calibri"/>
      <w:szCs w:val="21"/>
      <w:lang w:val="en-US"/>
    </w:rPr>
  </w:style>
  <w:style w:type="character" w:customStyle="1" w:styleId="apple-converted-space">
    <w:name w:val="apple-converted-space"/>
    <w:basedOn w:val="DefaultParagraphFont"/>
    <w:rsid w:val="00D91CE2"/>
  </w:style>
  <w:style w:type="character" w:styleId="Emphasis">
    <w:name w:val="Emphasis"/>
    <w:basedOn w:val="DefaultParagraphFont"/>
    <w:uiPriority w:val="20"/>
    <w:qFormat/>
    <w:rsid w:val="002408B0"/>
    <w:rPr>
      <w:i/>
      <w:iCs/>
    </w:rPr>
  </w:style>
  <w:style w:type="character" w:customStyle="1" w:styleId="UnresolvedMention1">
    <w:name w:val="Unresolved Mention1"/>
    <w:basedOn w:val="DefaultParagraphFont"/>
    <w:uiPriority w:val="99"/>
    <w:semiHidden/>
    <w:unhideWhenUsed/>
    <w:rsid w:val="000D137A"/>
    <w:rPr>
      <w:color w:val="605E5C"/>
      <w:shd w:val="clear" w:color="auto" w:fill="E1DFDD"/>
    </w:rPr>
  </w:style>
  <w:style w:type="paragraph" w:styleId="Revision">
    <w:name w:val="Revision"/>
    <w:hidden/>
    <w:uiPriority w:val="99"/>
    <w:semiHidden/>
    <w:rsid w:val="00B22DFE"/>
    <w:pPr>
      <w:spacing w:after="0" w:line="240" w:lineRule="auto"/>
    </w:pPr>
  </w:style>
  <w:style w:type="character" w:customStyle="1" w:styleId="Heading3Char">
    <w:name w:val="Heading 3 Char"/>
    <w:basedOn w:val="DefaultParagraphFont"/>
    <w:link w:val="Heading3"/>
    <w:uiPriority w:val="9"/>
    <w:rsid w:val="00946FA9"/>
    <w:rPr>
      <w:rFonts w:asciiTheme="majorHAnsi" w:eastAsiaTheme="majorEastAsia" w:hAnsiTheme="majorHAnsi" w:cstheme="majorBidi"/>
      <w:color w:val="1F4D78" w:themeColor="accent1" w:themeShade="7F"/>
      <w:sz w:val="24"/>
      <w:szCs w:val="24"/>
    </w:rPr>
  </w:style>
  <w:style w:type="paragraph" w:customStyle="1" w:styleId="Default">
    <w:name w:val="Default"/>
    <w:rsid w:val="00193780"/>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2Char">
    <w:name w:val="Heading 2 Char"/>
    <w:basedOn w:val="DefaultParagraphFont"/>
    <w:link w:val="Heading2"/>
    <w:uiPriority w:val="9"/>
    <w:rsid w:val="007F2E88"/>
    <w:rPr>
      <w:rFonts w:asciiTheme="majorHAnsi" w:eastAsiaTheme="majorEastAsia" w:hAnsiTheme="majorHAnsi" w:cstheme="majorBidi"/>
      <w:color w:val="2E74B5" w:themeColor="accent1" w:themeShade="BF"/>
      <w:sz w:val="26"/>
      <w:szCs w:val="26"/>
    </w:rPr>
  </w:style>
  <w:style w:type="table" w:styleId="GridTable1Light-Accent5">
    <w:name w:val="Grid Table 1 Light Accent 5"/>
    <w:basedOn w:val="TableNormal"/>
    <w:uiPriority w:val="46"/>
    <w:rsid w:val="008F153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11300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OC2">
    <w:name w:val="toc 2"/>
    <w:basedOn w:val="Normal"/>
    <w:next w:val="Normal"/>
    <w:autoRedefine/>
    <w:uiPriority w:val="39"/>
    <w:unhideWhenUsed/>
    <w:rsid w:val="0011300E"/>
    <w:pPr>
      <w:spacing w:after="100"/>
      <w:ind w:left="220"/>
    </w:pPr>
  </w:style>
  <w:style w:type="paragraph" w:styleId="TOC3">
    <w:name w:val="toc 3"/>
    <w:basedOn w:val="Normal"/>
    <w:next w:val="Normal"/>
    <w:autoRedefine/>
    <w:uiPriority w:val="39"/>
    <w:unhideWhenUsed/>
    <w:rsid w:val="00FF77DC"/>
    <w:pPr>
      <w:spacing w:after="100"/>
      <w:ind w:left="440"/>
    </w:pPr>
  </w:style>
  <w:style w:type="paragraph" w:styleId="TOC1">
    <w:name w:val="toc 1"/>
    <w:basedOn w:val="Normal"/>
    <w:next w:val="Normal"/>
    <w:autoRedefine/>
    <w:uiPriority w:val="39"/>
    <w:unhideWhenUsed/>
    <w:rsid w:val="00730406"/>
    <w:pPr>
      <w:spacing w:after="100"/>
    </w:pPr>
  </w:style>
  <w:style w:type="character" w:styleId="PlaceholderText">
    <w:name w:val="Placeholder Text"/>
    <w:basedOn w:val="DefaultParagraphFont"/>
    <w:uiPriority w:val="99"/>
    <w:semiHidden/>
    <w:rsid w:val="00EA61F9"/>
    <w:rPr>
      <w:color w:val="808080"/>
    </w:rPr>
  </w:style>
  <w:style w:type="character" w:styleId="UnresolvedMention">
    <w:name w:val="Unresolved Mention"/>
    <w:basedOn w:val="DefaultParagraphFont"/>
    <w:uiPriority w:val="99"/>
    <w:semiHidden/>
    <w:unhideWhenUsed/>
    <w:rsid w:val="00E85153"/>
    <w:rPr>
      <w:color w:val="605E5C"/>
      <w:shd w:val="clear" w:color="auto" w:fill="E1DFDD"/>
    </w:rPr>
  </w:style>
  <w:style w:type="paragraph" w:customStyle="1" w:styleId="BVIfnrCharCharChar1">
    <w:name w:val="BVI fnr Char Char Char1"/>
    <w:aliases w:val="16 Point Char Char Char1,Superscript 6 Point Char Char Char1,nota pié di pagina Char Char Char1,Times 10 Point Char Char Char1,Exposant 3 Point Char Char Char1,Footnote symbol Char Char Char1,BVI fnr Char Char"/>
    <w:basedOn w:val="Normal"/>
    <w:link w:val="FootnoteReference"/>
    <w:uiPriority w:val="99"/>
    <w:qFormat/>
    <w:rsid w:val="00D47835"/>
    <w:pPr>
      <w:spacing w:after="120" w:line="240" w:lineRule="exact"/>
    </w:pPr>
    <w:rPr>
      <w:vertAlign w:val="superscript"/>
    </w:rPr>
  </w:style>
  <w:style w:type="character" w:customStyle="1" w:styleId="cf01">
    <w:name w:val="cf01"/>
    <w:basedOn w:val="DefaultParagraphFont"/>
    <w:rsid w:val="00D47835"/>
    <w:rPr>
      <w:rFonts w:ascii="Segoe UI" w:hAnsi="Segoe UI" w:cs="Segoe UI"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9334">
      <w:bodyDiv w:val="1"/>
      <w:marLeft w:val="0"/>
      <w:marRight w:val="0"/>
      <w:marTop w:val="0"/>
      <w:marBottom w:val="0"/>
      <w:divBdr>
        <w:top w:val="none" w:sz="0" w:space="0" w:color="auto"/>
        <w:left w:val="none" w:sz="0" w:space="0" w:color="auto"/>
        <w:bottom w:val="none" w:sz="0" w:space="0" w:color="auto"/>
        <w:right w:val="none" w:sz="0" w:space="0" w:color="auto"/>
      </w:divBdr>
    </w:div>
    <w:div w:id="177744637">
      <w:bodyDiv w:val="1"/>
      <w:marLeft w:val="0"/>
      <w:marRight w:val="0"/>
      <w:marTop w:val="0"/>
      <w:marBottom w:val="0"/>
      <w:divBdr>
        <w:top w:val="none" w:sz="0" w:space="0" w:color="auto"/>
        <w:left w:val="none" w:sz="0" w:space="0" w:color="auto"/>
        <w:bottom w:val="none" w:sz="0" w:space="0" w:color="auto"/>
        <w:right w:val="none" w:sz="0" w:space="0" w:color="auto"/>
      </w:divBdr>
    </w:div>
    <w:div w:id="220212351">
      <w:bodyDiv w:val="1"/>
      <w:marLeft w:val="0"/>
      <w:marRight w:val="0"/>
      <w:marTop w:val="0"/>
      <w:marBottom w:val="0"/>
      <w:divBdr>
        <w:top w:val="none" w:sz="0" w:space="0" w:color="auto"/>
        <w:left w:val="none" w:sz="0" w:space="0" w:color="auto"/>
        <w:bottom w:val="none" w:sz="0" w:space="0" w:color="auto"/>
        <w:right w:val="none" w:sz="0" w:space="0" w:color="auto"/>
      </w:divBdr>
    </w:div>
    <w:div w:id="308022060">
      <w:bodyDiv w:val="1"/>
      <w:marLeft w:val="0"/>
      <w:marRight w:val="0"/>
      <w:marTop w:val="0"/>
      <w:marBottom w:val="0"/>
      <w:divBdr>
        <w:top w:val="none" w:sz="0" w:space="0" w:color="auto"/>
        <w:left w:val="none" w:sz="0" w:space="0" w:color="auto"/>
        <w:bottom w:val="none" w:sz="0" w:space="0" w:color="auto"/>
        <w:right w:val="none" w:sz="0" w:space="0" w:color="auto"/>
      </w:divBdr>
      <w:divsChild>
        <w:div w:id="459032745">
          <w:marLeft w:val="274"/>
          <w:marRight w:val="0"/>
          <w:marTop w:val="200"/>
          <w:marBottom w:val="0"/>
          <w:divBdr>
            <w:top w:val="none" w:sz="0" w:space="0" w:color="auto"/>
            <w:left w:val="none" w:sz="0" w:space="0" w:color="auto"/>
            <w:bottom w:val="none" w:sz="0" w:space="0" w:color="auto"/>
            <w:right w:val="none" w:sz="0" w:space="0" w:color="auto"/>
          </w:divBdr>
        </w:div>
      </w:divsChild>
    </w:div>
    <w:div w:id="454520762">
      <w:bodyDiv w:val="1"/>
      <w:marLeft w:val="0"/>
      <w:marRight w:val="0"/>
      <w:marTop w:val="0"/>
      <w:marBottom w:val="0"/>
      <w:divBdr>
        <w:top w:val="none" w:sz="0" w:space="0" w:color="auto"/>
        <w:left w:val="none" w:sz="0" w:space="0" w:color="auto"/>
        <w:bottom w:val="none" w:sz="0" w:space="0" w:color="auto"/>
        <w:right w:val="none" w:sz="0" w:space="0" w:color="auto"/>
      </w:divBdr>
    </w:div>
    <w:div w:id="459883286">
      <w:bodyDiv w:val="1"/>
      <w:marLeft w:val="0"/>
      <w:marRight w:val="0"/>
      <w:marTop w:val="0"/>
      <w:marBottom w:val="0"/>
      <w:divBdr>
        <w:top w:val="none" w:sz="0" w:space="0" w:color="auto"/>
        <w:left w:val="none" w:sz="0" w:space="0" w:color="auto"/>
        <w:bottom w:val="none" w:sz="0" w:space="0" w:color="auto"/>
        <w:right w:val="none" w:sz="0" w:space="0" w:color="auto"/>
      </w:divBdr>
      <w:divsChild>
        <w:div w:id="558323959">
          <w:marLeft w:val="274"/>
          <w:marRight w:val="0"/>
          <w:marTop w:val="200"/>
          <w:marBottom w:val="0"/>
          <w:divBdr>
            <w:top w:val="none" w:sz="0" w:space="0" w:color="auto"/>
            <w:left w:val="none" w:sz="0" w:space="0" w:color="auto"/>
            <w:bottom w:val="none" w:sz="0" w:space="0" w:color="auto"/>
            <w:right w:val="none" w:sz="0" w:space="0" w:color="auto"/>
          </w:divBdr>
        </w:div>
        <w:div w:id="139883018">
          <w:marLeft w:val="274"/>
          <w:marRight w:val="0"/>
          <w:marTop w:val="200"/>
          <w:marBottom w:val="0"/>
          <w:divBdr>
            <w:top w:val="none" w:sz="0" w:space="0" w:color="auto"/>
            <w:left w:val="none" w:sz="0" w:space="0" w:color="auto"/>
            <w:bottom w:val="none" w:sz="0" w:space="0" w:color="auto"/>
            <w:right w:val="none" w:sz="0" w:space="0" w:color="auto"/>
          </w:divBdr>
        </w:div>
        <w:div w:id="1593930582">
          <w:marLeft w:val="274"/>
          <w:marRight w:val="0"/>
          <w:marTop w:val="200"/>
          <w:marBottom w:val="0"/>
          <w:divBdr>
            <w:top w:val="none" w:sz="0" w:space="0" w:color="auto"/>
            <w:left w:val="none" w:sz="0" w:space="0" w:color="auto"/>
            <w:bottom w:val="none" w:sz="0" w:space="0" w:color="auto"/>
            <w:right w:val="none" w:sz="0" w:space="0" w:color="auto"/>
          </w:divBdr>
        </w:div>
        <w:div w:id="1725517392">
          <w:marLeft w:val="274"/>
          <w:marRight w:val="0"/>
          <w:marTop w:val="200"/>
          <w:marBottom w:val="0"/>
          <w:divBdr>
            <w:top w:val="none" w:sz="0" w:space="0" w:color="auto"/>
            <w:left w:val="none" w:sz="0" w:space="0" w:color="auto"/>
            <w:bottom w:val="none" w:sz="0" w:space="0" w:color="auto"/>
            <w:right w:val="none" w:sz="0" w:space="0" w:color="auto"/>
          </w:divBdr>
        </w:div>
        <w:div w:id="1408840478">
          <w:marLeft w:val="274"/>
          <w:marRight w:val="0"/>
          <w:marTop w:val="200"/>
          <w:marBottom w:val="0"/>
          <w:divBdr>
            <w:top w:val="none" w:sz="0" w:space="0" w:color="auto"/>
            <w:left w:val="none" w:sz="0" w:space="0" w:color="auto"/>
            <w:bottom w:val="none" w:sz="0" w:space="0" w:color="auto"/>
            <w:right w:val="none" w:sz="0" w:space="0" w:color="auto"/>
          </w:divBdr>
        </w:div>
      </w:divsChild>
    </w:div>
    <w:div w:id="555627067">
      <w:bodyDiv w:val="1"/>
      <w:marLeft w:val="0"/>
      <w:marRight w:val="0"/>
      <w:marTop w:val="0"/>
      <w:marBottom w:val="0"/>
      <w:divBdr>
        <w:top w:val="none" w:sz="0" w:space="0" w:color="auto"/>
        <w:left w:val="none" w:sz="0" w:space="0" w:color="auto"/>
        <w:bottom w:val="none" w:sz="0" w:space="0" w:color="auto"/>
        <w:right w:val="none" w:sz="0" w:space="0" w:color="auto"/>
      </w:divBdr>
      <w:divsChild>
        <w:div w:id="55471603">
          <w:marLeft w:val="806"/>
          <w:marRight w:val="0"/>
          <w:marTop w:val="200"/>
          <w:marBottom w:val="0"/>
          <w:divBdr>
            <w:top w:val="none" w:sz="0" w:space="0" w:color="auto"/>
            <w:left w:val="none" w:sz="0" w:space="0" w:color="auto"/>
            <w:bottom w:val="none" w:sz="0" w:space="0" w:color="auto"/>
            <w:right w:val="none" w:sz="0" w:space="0" w:color="auto"/>
          </w:divBdr>
        </w:div>
      </w:divsChild>
    </w:div>
    <w:div w:id="574975129">
      <w:bodyDiv w:val="1"/>
      <w:marLeft w:val="0"/>
      <w:marRight w:val="0"/>
      <w:marTop w:val="0"/>
      <w:marBottom w:val="0"/>
      <w:divBdr>
        <w:top w:val="none" w:sz="0" w:space="0" w:color="auto"/>
        <w:left w:val="none" w:sz="0" w:space="0" w:color="auto"/>
        <w:bottom w:val="none" w:sz="0" w:space="0" w:color="auto"/>
        <w:right w:val="none" w:sz="0" w:space="0" w:color="auto"/>
      </w:divBdr>
    </w:div>
    <w:div w:id="609702278">
      <w:bodyDiv w:val="1"/>
      <w:marLeft w:val="0"/>
      <w:marRight w:val="0"/>
      <w:marTop w:val="0"/>
      <w:marBottom w:val="0"/>
      <w:divBdr>
        <w:top w:val="none" w:sz="0" w:space="0" w:color="auto"/>
        <w:left w:val="none" w:sz="0" w:space="0" w:color="auto"/>
        <w:bottom w:val="none" w:sz="0" w:space="0" w:color="auto"/>
        <w:right w:val="none" w:sz="0" w:space="0" w:color="auto"/>
      </w:divBdr>
    </w:div>
    <w:div w:id="716780329">
      <w:bodyDiv w:val="1"/>
      <w:marLeft w:val="0"/>
      <w:marRight w:val="0"/>
      <w:marTop w:val="0"/>
      <w:marBottom w:val="0"/>
      <w:divBdr>
        <w:top w:val="none" w:sz="0" w:space="0" w:color="auto"/>
        <w:left w:val="none" w:sz="0" w:space="0" w:color="auto"/>
        <w:bottom w:val="none" w:sz="0" w:space="0" w:color="auto"/>
        <w:right w:val="none" w:sz="0" w:space="0" w:color="auto"/>
      </w:divBdr>
    </w:div>
    <w:div w:id="832330476">
      <w:bodyDiv w:val="1"/>
      <w:marLeft w:val="0"/>
      <w:marRight w:val="0"/>
      <w:marTop w:val="0"/>
      <w:marBottom w:val="0"/>
      <w:divBdr>
        <w:top w:val="none" w:sz="0" w:space="0" w:color="auto"/>
        <w:left w:val="none" w:sz="0" w:space="0" w:color="auto"/>
        <w:bottom w:val="none" w:sz="0" w:space="0" w:color="auto"/>
        <w:right w:val="none" w:sz="0" w:space="0" w:color="auto"/>
      </w:divBdr>
      <w:divsChild>
        <w:div w:id="658269082">
          <w:marLeft w:val="446"/>
          <w:marRight w:val="0"/>
          <w:marTop w:val="200"/>
          <w:marBottom w:val="0"/>
          <w:divBdr>
            <w:top w:val="none" w:sz="0" w:space="0" w:color="auto"/>
            <w:left w:val="none" w:sz="0" w:space="0" w:color="auto"/>
            <w:bottom w:val="none" w:sz="0" w:space="0" w:color="auto"/>
            <w:right w:val="none" w:sz="0" w:space="0" w:color="auto"/>
          </w:divBdr>
        </w:div>
      </w:divsChild>
    </w:div>
    <w:div w:id="863133018">
      <w:bodyDiv w:val="1"/>
      <w:marLeft w:val="0"/>
      <w:marRight w:val="0"/>
      <w:marTop w:val="0"/>
      <w:marBottom w:val="0"/>
      <w:divBdr>
        <w:top w:val="none" w:sz="0" w:space="0" w:color="auto"/>
        <w:left w:val="none" w:sz="0" w:space="0" w:color="auto"/>
        <w:bottom w:val="none" w:sz="0" w:space="0" w:color="auto"/>
        <w:right w:val="none" w:sz="0" w:space="0" w:color="auto"/>
      </w:divBdr>
    </w:div>
    <w:div w:id="866261840">
      <w:bodyDiv w:val="1"/>
      <w:marLeft w:val="0"/>
      <w:marRight w:val="0"/>
      <w:marTop w:val="0"/>
      <w:marBottom w:val="0"/>
      <w:divBdr>
        <w:top w:val="none" w:sz="0" w:space="0" w:color="auto"/>
        <w:left w:val="none" w:sz="0" w:space="0" w:color="auto"/>
        <w:bottom w:val="none" w:sz="0" w:space="0" w:color="auto"/>
        <w:right w:val="none" w:sz="0" w:space="0" w:color="auto"/>
      </w:divBdr>
    </w:div>
    <w:div w:id="869995480">
      <w:bodyDiv w:val="1"/>
      <w:marLeft w:val="0"/>
      <w:marRight w:val="0"/>
      <w:marTop w:val="0"/>
      <w:marBottom w:val="0"/>
      <w:divBdr>
        <w:top w:val="none" w:sz="0" w:space="0" w:color="auto"/>
        <w:left w:val="none" w:sz="0" w:space="0" w:color="auto"/>
        <w:bottom w:val="none" w:sz="0" w:space="0" w:color="auto"/>
        <w:right w:val="none" w:sz="0" w:space="0" w:color="auto"/>
      </w:divBdr>
    </w:div>
    <w:div w:id="902373293">
      <w:bodyDiv w:val="1"/>
      <w:marLeft w:val="0"/>
      <w:marRight w:val="0"/>
      <w:marTop w:val="0"/>
      <w:marBottom w:val="0"/>
      <w:divBdr>
        <w:top w:val="none" w:sz="0" w:space="0" w:color="auto"/>
        <w:left w:val="none" w:sz="0" w:space="0" w:color="auto"/>
        <w:bottom w:val="none" w:sz="0" w:space="0" w:color="auto"/>
        <w:right w:val="none" w:sz="0" w:space="0" w:color="auto"/>
      </w:divBdr>
    </w:div>
    <w:div w:id="961032783">
      <w:bodyDiv w:val="1"/>
      <w:marLeft w:val="0"/>
      <w:marRight w:val="0"/>
      <w:marTop w:val="0"/>
      <w:marBottom w:val="0"/>
      <w:divBdr>
        <w:top w:val="none" w:sz="0" w:space="0" w:color="auto"/>
        <w:left w:val="none" w:sz="0" w:space="0" w:color="auto"/>
        <w:bottom w:val="none" w:sz="0" w:space="0" w:color="auto"/>
        <w:right w:val="none" w:sz="0" w:space="0" w:color="auto"/>
      </w:divBdr>
    </w:div>
    <w:div w:id="987709707">
      <w:bodyDiv w:val="1"/>
      <w:marLeft w:val="0"/>
      <w:marRight w:val="0"/>
      <w:marTop w:val="0"/>
      <w:marBottom w:val="0"/>
      <w:divBdr>
        <w:top w:val="none" w:sz="0" w:space="0" w:color="auto"/>
        <w:left w:val="none" w:sz="0" w:space="0" w:color="auto"/>
        <w:bottom w:val="none" w:sz="0" w:space="0" w:color="auto"/>
        <w:right w:val="none" w:sz="0" w:space="0" w:color="auto"/>
      </w:divBdr>
    </w:div>
    <w:div w:id="1060713762">
      <w:bodyDiv w:val="1"/>
      <w:marLeft w:val="0"/>
      <w:marRight w:val="0"/>
      <w:marTop w:val="0"/>
      <w:marBottom w:val="0"/>
      <w:divBdr>
        <w:top w:val="none" w:sz="0" w:space="0" w:color="auto"/>
        <w:left w:val="none" w:sz="0" w:space="0" w:color="auto"/>
        <w:bottom w:val="none" w:sz="0" w:space="0" w:color="auto"/>
        <w:right w:val="none" w:sz="0" w:space="0" w:color="auto"/>
      </w:divBdr>
    </w:div>
    <w:div w:id="1113204917">
      <w:bodyDiv w:val="1"/>
      <w:marLeft w:val="0"/>
      <w:marRight w:val="0"/>
      <w:marTop w:val="0"/>
      <w:marBottom w:val="0"/>
      <w:divBdr>
        <w:top w:val="none" w:sz="0" w:space="0" w:color="auto"/>
        <w:left w:val="none" w:sz="0" w:space="0" w:color="auto"/>
        <w:bottom w:val="none" w:sz="0" w:space="0" w:color="auto"/>
        <w:right w:val="none" w:sz="0" w:space="0" w:color="auto"/>
      </w:divBdr>
    </w:div>
    <w:div w:id="1133402654">
      <w:bodyDiv w:val="1"/>
      <w:marLeft w:val="0"/>
      <w:marRight w:val="0"/>
      <w:marTop w:val="0"/>
      <w:marBottom w:val="0"/>
      <w:divBdr>
        <w:top w:val="none" w:sz="0" w:space="0" w:color="auto"/>
        <w:left w:val="none" w:sz="0" w:space="0" w:color="auto"/>
        <w:bottom w:val="none" w:sz="0" w:space="0" w:color="auto"/>
        <w:right w:val="none" w:sz="0" w:space="0" w:color="auto"/>
      </w:divBdr>
    </w:div>
    <w:div w:id="1141193888">
      <w:bodyDiv w:val="1"/>
      <w:marLeft w:val="0"/>
      <w:marRight w:val="0"/>
      <w:marTop w:val="0"/>
      <w:marBottom w:val="0"/>
      <w:divBdr>
        <w:top w:val="none" w:sz="0" w:space="0" w:color="auto"/>
        <w:left w:val="none" w:sz="0" w:space="0" w:color="auto"/>
        <w:bottom w:val="none" w:sz="0" w:space="0" w:color="auto"/>
        <w:right w:val="none" w:sz="0" w:space="0" w:color="auto"/>
      </w:divBdr>
    </w:div>
    <w:div w:id="1154178045">
      <w:bodyDiv w:val="1"/>
      <w:marLeft w:val="0"/>
      <w:marRight w:val="0"/>
      <w:marTop w:val="0"/>
      <w:marBottom w:val="0"/>
      <w:divBdr>
        <w:top w:val="none" w:sz="0" w:space="0" w:color="auto"/>
        <w:left w:val="none" w:sz="0" w:space="0" w:color="auto"/>
        <w:bottom w:val="none" w:sz="0" w:space="0" w:color="auto"/>
        <w:right w:val="none" w:sz="0" w:space="0" w:color="auto"/>
      </w:divBdr>
    </w:div>
    <w:div w:id="1226256546">
      <w:bodyDiv w:val="1"/>
      <w:marLeft w:val="0"/>
      <w:marRight w:val="0"/>
      <w:marTop w:val="0"/>
      <w:marBottom w:val="0"/>
      <w:divBdr>
        <w:top w:val="none" w:sz="0" w:space="0" w:color="auto"/>
        <w:left w:val="none" w:sz="0" w:space="0" w:color="auto"/>
        <w:bottom w:val="none" w:sz="0" w:space="0" w:color="auto"/>
        <w:right w:val="none" w:sz="0" w:space="0" w:color="auto"/>
      </w:divBdr>
    </w:div>
    <w:div w:id="1261135344">
      <w:bodyDiv w:val="1"/>
      <w:marLeft w:val="0"/>
      <w:marRight w:val="0"/>
      <w:marTop w:val="0"/>
      <w:marBottom w:val="0"/>
      <w:divBdr>
        <w:top w:val="none" w:sz="0" w:space="0" w:color="auto"/>
        <w:left w:val="none" w:sz="0" w:space="0" w:color="auto"/>
        <w:bottom w:val="none" w:sz="0" w:space="0" w:color="auto"/>
        <w:right w:val="none" w:sz="0" w:space="0" w:color="auto"/>
      </w:divBdr>
      <w:divsChild>
        <w:div w:id="1257059831">
          <w:marLeft w:val="533"/>
          <w:marRight w:val="0"/>
          <w:marTop w:val="275"/>
          <w:marBottom w:val="0"/>
          <w:divBdr>
            <w:top w:val="none" w:sz="0" w:space="0" w:color="auto"/>
            <w:left w:val="none" w:sz="0" w:space="0" w:color="auto"/>
            <w:bottom w:val="none" w:sz="0" w:space="0" w:color="auto"/>
            <w:right w:val="none" w:sz="0" w:space="0" w:color="auto"/>
          </w:divBdr>
        </w:div>
        <w:div w:id="1633093361">
          <w:marLeft w:val="533"/>
          <w:marRight w:val="0"/>
          <w:marTop w:val="275"/>
          <w:marBottom w:val="0"/>
          <w:divBdr>
            <w:top w:val="none" w:sz="0" w:space="0" w:color="auto"/>
            <w:left w:val="none" w:sz="0" w:space="0" w:color="auto"/>
            <w:bottom w:val="none" w:sz="0" w:space="0" w:color="auto"/>
            <w:right w:val="none" w:sz="0" w:space="0" w:color="auto"/>
          </w:divBdr>
        </w:div>
        <w:div w:id="816917008">
          <w:marLeft w:val="533"/>
          <w:marRight w:val="0"/>
          <w:marTop w:val="275"/>
          <w:marBottom w:val="0"/>
          <w:divBdr>
            <w:top w:val="none" w:sz="0" w:space="0" w:color="auto"/>
            <w:left w:val="none" w:sz="0" w:space="0" w:color="auto"/>
            <w:bottom w:val="none" w:sz="0" w:space="0" w:color="auto"/>
            <w:right w:val="none" w:sz="0" w:space="0" w:color="auto"/>
          </w:divBdr>
        </w:div>
        <w:div w:id="1226337749">
          <w:marLeft w:val="0"/>
          <w:marRight w:val="0"/>
          <w:marTop w:val="240"/>
          <w:marBottom w:val="0"/>
          <w:divBdr>
            <w:top w:val="none" w:sz="0" w:space="0" w:color="auto"/>
            <w:left w:val="none" w:sz="0" w:space="0" w:color="auto"/>
            <w:bottom w:val="none" w:sz="0" w:space="0" w:color="auto"/>
            <w:right w:val="none" w:sz="0" w:space="0" w:color="auto"/>
          </w:divBdr>
        </w:div>
        <w:div w:id="2092387661">
          <w:marLeft w:val="0"/>
          <w:marRight w:val="0"/>
          <w:marTop w:val="240"/>
          <w:marBottom w:val="0"/>
          <w:divBdr>
            <w:top w:val="none" w:sz="0" w:space="0" w:color="auto"/>
            <w:left w:val="none" w:sz="0" w:space="0" w:color="auto"/>
            <w:bottom w:val="none" w:sz="0" w:space="0" w:color="auto"/>
            <w:right w:val="none" w:sz="0" w:space="0" w:color="auto"/>
          </w:divBdr>
        </w:div>
        <w:div w:id="438532303">
          <w:marLeft w:val="0"/>
          <w:marRight w:val="0"/>
          <w:marTop w:val="240"/>
          <w:marBottom w:val="0"/>
          <w:divBdr>
            <w:top w:val="none" w:sz="0" w:space="0" w:color="auto"/>
            <w:left w:val="none" w:sz="0" w:space="0" w:color="auto"/>
            <w:bottom w:val="none" w:sz="0" w:space="0" w:color="auto"/>
            <w:right w:val="none" w:sz="0" w:space="0" w:color="auto"/>
          </w:divBdr>
        </w:div>
      </w:divsChild>
    </w:div>
    <w:div w:id="1280063476">
      <w:bodyDiv w:val="1"/>
      <w:marLeft w:val="0"/>
      <w:marRight w:val="0"/>
      <w:marTop w:val="0"/>
      <w:marBottom w:val="0"/>
      <w:divBdr>
        <w:top w:val="none" w:sz="0" w:space="0" w:color="auto"/>
        <w:left w:val="none" w:sz="0" w:space="0" w:color="auto"/>
        <w:bottom w:val="none" w:sz="0" w:space="0" w:color="auto"/>
        <w:right w:val="none" w:sz="0" w:space="0" w:color="auto"/>
      </w:divBdr>
      <w:divsChild>
        <w:div w:id="127557558">
          <w:marLeft w:val="806"/>
          <w:marRight w:val="0"/>
          <w:marTop w:val="200"/>
          <w:marBottom w:val="0"/>
          <w:divBdr>
            <w:top w:val="none" w:sz="0" w:space="0" w:color="auto"/>
            <w:left w:val="none" w:sz="0" w:space="0" w:color="auto"/>
            <w:bottom w:val="none" w:sz="0" w:space="0" w:color="auto"/>
            <w:right w:val="none" w:sz="0" w:space="0" w:color="auto"/>
          </w:divBdr>
        </w:div>
        <w:div w:id="717321241">
          <w:marLeft w:val="806"/>
          <w:marRight w:val="0"/>
          <w:marTop w:val="200"/>
          <w:marBottom w:val="0"/>
          <w:divBdr>
            <w:top w:val="none" w:sz="0" w:space="0" w:color="auto"/>
            <w:left w:val="none" w:sz="0" w:space="0" w:color="auto"/>
            <w:bottom w:val="none" w:sz="0" w:space="0" w:color="auto"/>
            <w:right w:val="none" w:sz="0" w:space="0" w:color="auto"/>
          </w:divBdr>
        </w:div>
        <w:div w:id="709768140">
          <w:marLeft w:val="806"/>
          <w:marRight w:val="0"/>
          <w:marTop w:val="200"/>
          <w:marBottom w:val="0"/>
          <w:divBdr>
            <w:top w:val="none" w:sz="0" w:space="0" w:color="auto"/>
            <w:left w:val="none" w:sz="0" w:space="0" w:color="auto"/>
            <w:bottom w:val="none" w:sz="0" w:space="0" w:color="auto"/>
            <w:right w:val="none" w:sz="0" w:space="0" w:color="auto"/>
          </w:divBdr>
        </w:div>
        <w:div w:id="1259101296">
          <w:marLeft w:val="806"/>
          <w:marRight w:val="0"/>
          <w:marTop w:val="200"/>
          <w:marBottom w:val="0"/>
          <w:divBdr>
            <w:top w:val="none" w:sz="0" w:space="0" w:color="auto"/>
            <w:left w:val="none" w:sz="0" w:space="0" w:color="auto"/>
            <w:bottom w:val="none" w:sz="0" w:space="0" w:color="auto"/>
            <w:right w:val="none" w:sz="0" w:space="0" w:color="auto"/>
          </w:divBdr>
        </w:div>
        <w:div w:id="1249919480">
          <w:marLeft w:val="806"/>
          <w:marRight w:val="0"/>
          <w:marTop w:val="200"/>
          <w:marBottom w:val="0"/>
          <w:divBdr>
            <w:top w:val="none" w:sz="0" w:space="0" w:color="auto"/>
            <w:left w:val="none" w:sz="0" w:space="0" w:color="auto"/>
            <w:bottom w:val="none" w:sz="0" w:space="0" w:color="auto"/>
            <w:right w:val="none" w:sz="0" w:space="0" w:color="auto"/>
          </w:divBdr>
        </w:div>
        <w:div w:id="1736511954">
          <w:marLeft w:val="806"/>
          <w:marRight w:val="0"/>
          <w:marTop w:val="200"/>
          <w:marBottom w:val="0"/>
          <w:divBdr>
            <w:top w:val="none" w:sz="0" w:space="0" w:color="auto"/>
            <w:left w:val="none" w:sz="0" w:space="0" w:color="auto"/>
            <w:bottom w:val="none" w:sz="0" w:space="0" w:color="auto"/>
            <w:right w:val="none" w:sz="0" w:space="0" w:color="auto"/>
          </w:divBdr>
        </w:div>
        <w:div w:id="1928688854">
          <w:marLeft w:val="806"/>
          <w:marRight w:val="0"/>
          <w:marTop w:val="200"/>
          <w:marBottom w:val="0"/>
          <w:divBdr>
            <w:top w:val="none" w:sz="0" w:space="0" w:color="auto"/>
            <w:left w:val="none" w:sz="0" w:space="0" w:color="auto"/>
            <w:bottom w:val="none" w:sz="0" w:space="0" w:color="auto"/>
            <w:right w:val="none" w:sz="0" w:space="0" w:color="auto"/>
          </w:divBdr>
        </w:div>
        <w:div w:id="1086852314">
          <w:marLeft w:val="806"/>
          <w:marRight w:val="0"/>
          <w:marTop w:val="200"/>
          <w:marBottom w:val="0"/>
          <w:divBdr>
            <w:top w:val="none" w:sz="0" w:space="0" w:color="auto"/>
            <w:left w:val="none" w:sz="0" w:space="0" w:color="auto"/>
            <w:bottom w:val="none" w:sz="0" w:space="0" w:color="auto"/>
            <w:right w:val="none" w:sz="0" w:space="0" w:color="auto"/>
          </w:divBdr>
        </w:div>
        <w:div w:id="1610550248">
          <w:marLeft w:val="806"/>
          <w:marRight w:val="0"/>
          <w:marTop w:val="200"/>
          <w:marBottom w:val="0"/>
          <w:divBdr>
            <w:top w:val="none" w:sz="0" w:space="0" w:color="auto"/>
            <w:left w:val="none" w:sz="0" w:space="0" w:color="auto"/>
            <w:bottom w:val="none" w:sz="0" w:space="0" w:color="auto"/>
            <w:right w:val="none" w:sz="0" w:space="0" w:color="auto"/>
          </w:divBdr>
        </w:div>
        <w:div w:id="1580794348">
          <w:marLeft w:val="806"/>
          <w:marRight w:val="0"/>
          <w:marTop w:val="200"/>
          <w:marBottom w:val="0"/>
          <w:divBdr>
            <w:top w:val="none" w:sz="0" w:space="0" w:color="auto"/>
            <w:left w:val="none" w:sz="0" w:space="0" w:color="auto"/>
            <w:bottom w:val="none" w:sz="0" w:space="0" w:color="auto"/>
            <w:right w:val="none" w:sz="0" w:space="0" w:color="auto"/>
          </w:divBdr>
        </w:div>
      </w:divsChild>
    </w:div>
    <w:div w:id="1295718812">
      <w:bodyDiv w:val="1"/>
      <w:marLeft w:val="0"/>
      <w:marRight w:val="0"/>
      <w:marTop w:val="0"/>
      <w:marBottom w:val="0"/>
      <w:divBdr>
        <w:top w:val="none" w:sz="0" w:space="0" w:color="auto"/>
        <w:left w:val="none" w:sz="0" w:space="0" w:color="auto"/>
        <w:bottom w:val="none" w:sz="0" w:space="0" w:color="auto"/>
        <w:right w:val="none" w:sz="0" w:space="0" w:color="auto"/>
      </w:divBdr>
    </w:div>
    <w:div w:id="1370767050">
      <w:bodyDiv w:val="1"/>
      <w:marLeft w:val="0"/>
      <w:marRight w:val="0"/>
      <w:marTop w:val="0"/>
      <w:marBottom w:val="0"/>
      <w:divBdr>
        <w:top w:val="none" w:sz="0" w:space="0" w:color="auto"/>
        <w:left w:val="none" w:sz="0" w:space="0" w:color="auto"/>
        <w:bottom w:val="none" w:sz="0" w:space="0" w:color="auto"/>
        <w:right w:val="none" w:sz="0" w:space="0" w:color="auto"/>
      </w:divBdr>
    </w:div>
    <w:div w:id="1459689683">
      <w:bodyDiv w:val="1"/>
      <w:marLeft w:val="0"/>
      <w:marRight w:val="0"/>
      <w:marTop w:val="0"/>
      <w:marBottom w:val="0"/>
      <w:divBdr>
        <w:top w:val="none" w:sz="0" w:space="0" w:color="auto"/>
        <w:left w:val="none" w:sz="0" w:space="0" w:color="auto"/>
        <w:bottom w:val="none" w:sz="0" w:space="0" w:color="auto"/>
        <w:right w:val="none" w:sz="0" w:space="0" w:color="auto"/>
      </w:divBdr>
    </w:div>
    <w:div w:id="1553036488">
      <w:bodyDiv w:val="1"/>
      <w:marLeft w:val="0"/>
      <w:marRight w:val="0"/>
      <w:marTop w:val="0"/>
      <w:marBottom w:val="0"/>
      <w:divBdr>
        <w:top w:val="none" w:sz="0" w:space="0" w:color="auto"/>
        <w:left w:val="none" w:sz="0" w:space="0" w:color="auto"/>
        <w:bottom w:val="none" w:sz="0" w:space="0" w:color="auto"/>
        <w:right w:val="none" w:sz="0" w:space="0" w:color="auto"/>
      </w:divBdr>
      <w:divsChild>
        <w:div w:id="1031107079">
          <w:marLeft w:val="907"/>
          <w:marRight w:val="0"/>
          <w:marTop w:val="200"/>
          <w:marBottom w:val="0"/>
          <w:divBdr>
            <w:top w:val="none" w:sz="0" w:space="0" w:color="auto"/>
            <w:left w:val="none" w:sz="0" w:space="0" w:color="auto"/>
            <w:bottom w:val="none" w:sz="0" w:space="0" w:color="auto"/>
            <w:right w:val="none" w:sz="0" w:space="0" w:color="auto"/>
          </w:divBdr>
        </w:div>
        <w:div w:id="17700186">
          <w:marLeft w:val="907"/>
          <w:marRight w:val="0"/>
          <w:marTop w:val="200"/>
          <w:marBottom w:val="0"/>
          <w:divBdr>
            <w:top w:val="none" w:sz="0" w:space="0" w:color="auto"/>
            <w:left w:val="none" w:sz="0" w:space="0" w:color="auto"/>
            <w:bottom w:val="none" w:sz="0" w:space="0" w:color="auto"/>
            <w:right w:val="none" w:sz="0" w:space="0" w:color="auto"/>
          </w:divBdr>
        </w:div>
        <w:div w:id="1522275583">
          <w:marLeft w:val="907"/>
          <w:marRight w:val="0"/>
          <w:marTop w:val="200"/>
          <w:marBottom w:val="0"/>
          <w:divBdr>
            <w:top w:val="none" w:sz="0" w:space="0" w:color="auto"/>
            <w:left w:val="none" w:sz="0" w:space="0" w:color="auto"/>
            <w:bottom w:val="none" w:sz="0" w:space="0" w:color="auto"/>
            <w:right w:val="none" w:sz="0" w:space="0" w:color="auto"/>
          </w:divBdr>
        </w:div>
        <w:div w:id="19287773">
          <w:marLeft w:val="907"/>
          <w:marRight w:val="0"/>
          <w:marTop w:val="200"/>
          <w:marBottom w:val="0"/>
          <w:divBdr>
            <w:top w:val="none" w:sz="0" w:space="0" w:color="auto"/>
            <w:left w:val="none" w:sz="0" w:space="0" w:color="auto"/>
            <w:bottom w:val="none" w:sz="0" w:space="0" w:color="auto"/>
            <w:right w:val="none" w:sz="0" w:space="0" w:color="auto"/>
          </w:divBdr>
        </w:div>
        <w:div w:id="412092452">
          <w:marLeft w:val="907"/>
          <w:marRight w:val="0"/>
          <w:marTop w:val="200"/>
          <w:marBottom w:val="0"/>
          <w:divBdr>
            <w:top w:val="none" w:sz="0" w:space="0" w:color="auto"/>
            <w:left w:val="none" w:sz="0" w:space="0" w:color="auto"/>
            <w:bottom w:val="none" w:sz="0" w:space="0" w:color="auto"/>
            <w:right w:val="none" w:sz="0" w:space="0" w:color="auto"/>
          </w:divBdr>
        </w:div>
        <w:div w:id="806436860">
          <w:marLeft w:val="907"/>
          <w:marRight w:val="0"/>
          <w:marTop w:val="200"/>
          <w:marBottom w:val="0"/>
          <w:divBdr>
            <w:top w:val="none" w:sz="0" w:space="0" w:color="auto"/>
            <w:left w:val="none" w:sz="0" w:space="0" w:color="auto"/>
            <w:bottom w:val="none" w:sz="0" w:space="0" w:color="auto"/>
            <w:right w:val="none" w:sz="0" w:space="0" w:color="auto"/>
          </w:divBdr>
        </w:div>
        <w:div w:id="961230186">
          <w:marLeft w:val="907"/>
          <w:marRight w:val="0"/>
          <w:marTop w:val="200"/>
          <w:marBottom w:val="0"/>
          <w:divBdr>
            <w:top w:val="none" w:sz="0" w:space="0" w:color="auto"/>
            <w:left w:val="none" w:sz="0" w:space="0" w:color="auto"/>
            <w:bottom w:val="none" w:sz="0" w:space="0" w:color="auto"/>
            <w:right w:val="none" w:sz="0" w:space="0" w:color="auto"/>
          </w:divBdr>
        </w:div>
        <w:div w:id="567501957">
          <w:marLeft w:val="907"/>
          <w:marRight w:val="0"/>
          <w:marTop w:val="200"/>
          <w:marBottom w:val="0"/>
          <w:divBdr>
            <w:top w:val="none" w:sz="0" w:space="0" w:color="auto"/>
            <w:left w:val="none" w:sz="0" w:space="0" w:color="auto"/>
            <w:bottom w:val="none" w:sz="0" w:space="0" w:color="auto"/>
            <w:right w:val="none" w:sz="0" w:space="0" w:color="auto"/>
          </w:divBdr>
        </w:div>
        <w:div w:id="1864784512">
          <w:marLeft w:val="907"/>
          <w:marRight w:val="0"/>
          <w:marTop w:val="200"/>
          <w:marBottom w:val="0"/>
          <w:divBdr>
            <w:top w:val="none" w:sz="0" w:space="0" w:color="auto"/>
            <w:left w:val="none" w:sz="0" w:space="0" w:color="auto"/>
            <w:bottom w:val="none" w:sz="0" w:space="0" w:color="auto"/>
            <w:right w:val="none" w:sz="0" w:space="0" w:color="auto"/>
          </w:divBdr>
        </w:div>
        <w:div w:id="2090810903">
          <w:marLeft w:val="907"/>
          <w:marRight w:val="0"/>
          <w:marTop w:val="200"/>
          <w:marBottom w:val="0"/>
          <w:divBdr>
            <w:top w:val="none" w:sz="0" w:space="0" w:color="auto"/>
            <w:left w:val="none" w:sz="0" w:space="0" w:color="auto"/>
            <w:bottom w:val="none" w:sz="0" w:space="0" w:color="auto"/>
            <w:right w:val="none" w:sz="0" w:space="0" w:color="auto"/>
          </w:divBdr>
        </w:div>
        <w:div w:id="1818722203">
          <w:marLeft w:val="907"/>
          <w:marRight w:val="0"/>
          <w:marTop w:val="200"/>
          <w:marBottom w:val="0"/>
          <w:divBdr>
            <w:top w:val="none" w:sz="0" w:space="0" w:color="auto"/>
            <w:left w:val="none" w:sz="0" w:space="0" w:color="auto"/>
            <w:bottom w:val="none" w:sz="0" w:space="0" w:color="auto"/>
            <w:right w:val="none" w:sz="0" w:space="0" w:color="auto"/>
          </w:divBdr>
        </w:div>
        <w:div w:id="1541357902">
          <w:marLeft w:val="907"/>
          <w:marRight w:val="0"/>
          <w:marTop w:val="200"/>
          <w:marBottom w:val="0"/>
          <w:divBdr>
            <w:top w:val="none" w:sz="0" w:space="0" w:color="auto"/>
            <w:left w:val="none" w:sz="0" w:space="0" w:color="auto"/>
            <w:bottom w:val="none" w:sz="0" w:space="0" w:color="auto"/>
            <w:right w:val="none" w:sz="0" w:space="0" w:color="auto"/>
          </w:divBdr>
        </w:div>
        <w:div w:id="2001080637">
          <w:marLeft w:val="907"/>
          <w:marRight w:val="0"/>
          <w:marTop w:val="200"/>
          <w:marBottom w:val="0"/>
          <w:divBdr>
            <w:top w:val="none" w:sz="0" w:space="0" w:color="auto"/>
            <w:left w:val="none" w:sz="0" w:space="0" w:color="auto"/>
            <w:bottom w:val="none" w:sz="0" w:space="0" w:color="auto"/>
            <w:right w:val="none" w:sz="0" w:space="0" w:color="auto"/>
          </w:divBdr>
        </w:div>
      </w:divsChild>
    </w:div>
    <w:div w:id="1564371136">
      <w:bodyDiv w:val="1"/>
      <w:marLeft w:val="0"/>
      <w:marRight w:val="0"/>
      <w:marTop w:val="0"/>
      <w:marBottom w:val="0"/>
      <w:divBdr>
        <w:top w:val="none" w:sz="0" w:space="0" w:color="auto"/>
        <w:left w:val="none" w:sz="0" w:space="0" w:color="auto"/>
        <w:bottom w:val="none" w:sz="0" w:space="0" w:color="auto"/>
        <w:right w:val="none" w:sz="0" w:space="0" w:color="auto"/>
      </w:divBdr>
      <w:divsChild>
        <w:div w:id="1978534631">
          <w:marLeft w:val="274"/>
          <w:marRight w:val="0"/>
          <w:marTop w:val="200"/>
          <w:marBottom w:val="0"/>
          <w:divBdr>
            <w:top w:val="none" w:sz="0" w:space="0" w:color="auto"/>
            <w:left w:val="none" w:sz="0" w:space="0" w:color="auto"/>
            <w:bottom w:val="none" w:sz="0" w:space="0" w:color="auto"/>
            <w:right w:val="none" w:sz="0" w:space="0" w:color="auto"/>
          </w:divBdr>
        </w:div>
        <w:div w:id="1267076946">
          <w:marLeft w:val="274"/>
          <w:marRight w:val="0"/>
          <w:marTop w:val="200"/>
          <w:marBottom w:val="0"/>
          <w:divBdr>
            <w:top w:val="none" w:sz="0" w:space="0" w:color="auto"/>
            <w:left w:val="none" w:sz="0" w:space="0" w:color="auto"/>
            <w:bottom w:val="none" w:sz="0" w:space="0" w:color="auto"/>
            <w:right w:val="none" w:sz="0" w:space="0" w:color="auto"/>
          </w:divBdr>
        </w:div>
        <w:div w:id="1868174146">
          <w:marLeft w:val="274"/>
          <w:marRight w:val="0"/>
          <w:marTop w:val="200"/>
          <w:marBottom w:val="0"/>
          <w:divBdr>
            <w:top w:val="none" w:sz="0" w:space="0" w:color="auto"/>
            <w:left w:val="none" w:sz="0" w:space="0" w:color="auto"/>
            <w:bottom w:val="none" w:sz="0" w:space="0" w:color="auto"/>
            <w:right w:val="none" w:sz="0" w:space="0" w:color="auto"/>
          </w:divBdr>
        </w:div>
        <w:div w:id="1204294249">
          <w:marLeft w:val="274"/>
          <w:marRight w:val="0"/>
          <w:marTop w:val="200"/>
          <w:marBottom w:val="0"/>
          <w:divBdr>
            <w:top w:val="none" w:sz="0" w:space="0" w:color="auto"/>
            <w:left w:val="none" w:sz="0" w:space="0" w:color="auto"/>
            <w:bottom w:val="none" w:sz="0" w:space="0" w:color="auto"/>
            <w:right w:val="none" w:sz="0" w:space="0" w:color="auto"/>
          </w:divBdr>
        </w:div>
      </w:divsChild>
    </w:div>
    <w:div w:id="1596474775">
      <w:bodyDiv w:val="1"/>
      <w:marLeft w:val="0"/>
      <w:marRight w:val="0"/>
      <w:marTop w:val="0"/>
      <w:marBottom w:val="0"/>
      <w:divBdr>
        <w:top w:val="none" w:sz="0" w:space="0" w:color="auto"/>
        <w:left w:val="none" w:sz="0" w:space="0" w:color="auto"/>
        <w:bottom w:val="none" w:sz="0" w:space="0" w:color="auto"/>
        <w:right w:val="none" w:sz="0" w:space="0" w:color="auto"/>
      </w:divBdr>
    </w:div>
    <w:div w:id="1648707042">
      <w:bodyDiv w:val="1"/>
      <w:marLeft w:val="0"/>
      <w:marRight w:val="0"/>
      <w:marTop w:val="0"/>
      <w:marBottom w:val="0"/>
      <w:divBdr>
        <w:top w:val="none" w:sz="0" w:space="0" w:color="auto"/>
        <w:left w:val="none" w:sz="0" w:space="0" w:color="auto"/>
        <w:bottom w:val="none" w:sz="0" w:space="0" w:color="auto"/>
        <w:right w:val="none" w:sz="0" w:space="0" w:color="auto"/>
      </w:divBdr>
    </w:div>
    <w:div w:id="1652783830">
      <w:bodyDiv w:val="1"/>
      <w:marLeft w:val="0"/>
      <w:marRight w:val="0"/>
      <w:marTop w:val="0"/>
      <w:marBottom w:val="0"/>
      <w:divBdr>
        <w:top w:val="none" w:sz="0" w:space="0" w:color="auto"/>
        <w:left w:val="none" w:sz="0" w:space="0" w:color="auto"/>
        <w:bottom w:val="none" w:sz="0" w:space="0" w:color="auto"/>
        <w:right w:val="none" w:sz="0" w:space="0" w:color="auto"/>
      </w:divBdr>
    </w:div>
    <w:div w:id="1696803928">
      <w:bodyDiv w:val="1"/>
      <w:marLeft w:val="0"/>
      <w:marRight w:val="0"/>
      <w:marTop w:val="0"/>
      <w:marBottom w:val="0"/>
      <w:divBdr>
        <w:top w:val="none" w:sz="0" w:space="0" w:color="auto"/>
        <w:left w:val="none" w:sz="0" w:space="0" w:color="auto"/>
        <w:bottom w:val="none" w:sz="0" w:space="0" w:color="auto"/>
        <w:right w:val="none" w:sz="0" w:space="0" w:color="auto"/>
      </w:divBdr>
    </w:div>
    <w:div w:id="1767387588">
      <w:bodyDiv w:val="1"/>
      <w:marLeft w:val="0"/>
      <w:marRight w:val="0"/>
      <w:marTop w:val="0"/>
      <w:marBottom w:val="0"/>
      <w:divBdr>
        <w:top w:val="none" w:sz="0" w:space="0" w:color="auto"/>
        <w:left w:val="none" w:sz="0" w:space="0" w:color="auto"/>
        <w:bottom w:val="none" w:sz="0" w:space="0" w:color="auto"/>
        <w:right w:val="none" w:sz="0" w:space="0" w:color="auto"/>
      </w:divBdr>
    </w:div>
    <w:div w:id="1787852012">
      <w:bodyDiv w:val="1"/>
      <w:marLeft w:val="0"/>
      <w:marRight w:val="0"/>
      <w:marTop w:val="0"/>
      <w:marBottom w:val="0"/>
      <w:divBdr>
        <w:top w:val="none" w:sz="0" w:space="0" w:color="auto"/>
        <w:left w:val="none" w:sz="0" w:space="0" w:color="auto"/>
        <w:bottom w:val="none" w:sz="0" w:space="0" w:color="auto"/>
        <w:right w:val="none" w:sz="0" w:space="0" w:color="auto"/>
      </w:divBdr>
      <w:divsChild>
        <w:div w:id="849032154">
          <w:marLeft w:val="907"/>
          <w:marRight w:val="0"/>
          <w:marTop w:val="200"/>
          <w:marBottom w:val="0"/>
          <w:divBdr>
            <w:top w:val="none" w:sz="0" w:space="0" w:color="auto"/>
            <w:left w:val="none" w:sz="0" w:space="0" w:color="auto"/>
            <w:bottom w:val="none" w:sz="0" w:space="0" w:color="auto"/>
            <w:right w:val="none" w:sz="0" w:space="0" w:color="auto"/>
          </w:divBdr>
        </w:div>
        <w:div w:id="90779181">
          <w:marLeft w:val="907"/>
          <w:marRight w:val="0"/>
          <w:marTop w:val="200"/>
          <w:marBottom w:val="0"/>
          <w:divBdr>
            <w:top w:val="none" w:sz="0" w:space="0" w:color="auto"/>
            <w:left w:val="none" w:sz="0" w:space="0" w:color="auto"/>
            <w:bottom w:val="none" w:sz="0" w:space="0" w:color="auto"/>
            <w:right w:val="none" w:sz="0" w:space="0" w:color="auto"/>
          </w:divBdr>
        </w:div>
        <w:div w:id="1030885283">
          <w:marLeft w:val="907"/>
          <w:marRight w:val="0"/>
          <w:marTop w:val="200"/>
          <w:marBottom w:val="0"/>
          <w:divBdr>
            <w:top w:val="none" w:sz="0" w:space="0" w:color="auto"/>
            <w:left w:val="none" w:sz="0" w:space="0" w:color="auto"/>
            <w:bottom w:val="none" w:sz="0" w:space="0" w:color="auto"/>
            <w:right w:val="none" w:sz="0" w:space="0" w:color="auto"/>
          </w:divBdr>
        </w:div>
      </w:divsChild>
    </w:div>
    <w:div w:id="1799059118">
      <w:bodyDiv w:val="1"/>
      <w:marLeft w:val="0"/>
      <w:marRight w:val="0"/>
      <w:marTop w:val="0"/>
      <w:marBottom w:val="0"/>
      <w:divBdr>
        <w:top w:val="none" w:sz="0" w:space="0" w:color="auto"/>
        <w:left w:val="none" w:sz="0" w:space="0" w:color="auto"/>
        <w:bottom w:val="none" w:sz="0" w:space="0" w:color="auto"/>
        <w:right w:val="none" w:sz="0" w:space="0" w:color="auto"/>
      </w:divBdr>
    </w:div>
    <w:div w:id="1913004945">
      <w:bodyDiv w:val="1"/>
      <w:marLeft w:val="0"/>
      <w:marRight w:val="0"/>
      <w:marTop w:val="0"/>
      <w:marBottom w:val="0"/>
      <w:divBdr>
        <w:top w:val="none" w:sz="0" w:space="0" w:color="auto"/>
        <w:left w:val="none" w:sz="0" w:space="0" w:color="auto"/>
        <w:bottom w:val="none" w:sz="0" w:space="0" w:color="auto"/>
        <w:right w:val="none" w:sz="0" w:space="0" w:color="auto"/>
      </w:divBdr>
    </w:div>
    <w:div w:id="1942686660">
      <w:bodyDiv w:val="1"/>
      <w:marLeft w:val="0"/>
      <w:marRight w:val="0"/>
      <w:marTop w:val="0"/>
      <w:marBottom w:val="0"/>
      <w:divBdr>
        <w:top w:val="none" w:sz="0" w:space="0" w:color="auto"/>
        <w:left w:val="none" w:sz="0" w:space="0" w:color="auto"/>
        <w:bottom w:val="none" w:sz="0" w:space="0" w:color="auto"/>
        <w:right w:val="none" w:sz="0" w:space="0" w:color="auto"/>
      </w:divBdr>
      <w:divsChild>
        <w:div w:id="1876042827">
          <w:marLeft w:val="446"/>
          <w:marRight w:val="0"/>
          <w:marTop w:val="200"/>
          <w:marBottom w:val="0"/>
          <w:divBdr>
            <w:top w:val="none" w:sz="0" w:space="0" w:color="auto"/>
            <w:left w:val="none" w:sz="0" w:space="0" w:color="auto"/>
            <w:bottom w:val="none" w:sz="0" w:space="0" w:color="auto"/>
            <w:right w:val="none" w:sz="0" w:space="0" w:color="auto"/>
          </w:divBdr>
        </w:div>
      </w:divsChild>
    </w:div>
    <w:div w:id="1961842397">
      <w:bodyDiv w:val="1"/>
      <w:marLeft w:val="0"/>
      <w:marRight w:val="0"/>
      <w:marTop w:val="0"/>
      <w:marBottom w:val="0"/>
      <w:divBdr>
        <w:top w:val="none" w:sz="0" w:space="0" w:color="auto"/>
        <w:left w:val="none" w:sz="0" w:space="0" w:color="auto"/>
        <w:bottom w:val="none" w:sz="0" w:space="0" w:color="auto"/>
        <w:right w:val="none" w:sz="0" w:space="0" w:color="auto"/>
      </w:divBdr>
    </w:div>
    <w:div w:id="2002002273">
      <w:bodyDiv w:val="1"/>
      <w:marLeft w:val="0"/>
      <w:marRight w:val="0"/>
      <w:marTop w:val="0"/>
      <w:marBottom w:val="0"/>
      <w:divBdr>
        <w:top w:val="none" w:sz="0" w:space="0" w:color="auto"/>
        <w:left w:val="none" w:sz="0" w:space="0" w:color="auto"/>
        <w:bottom w:val="none" w:sz="0" w:space="0" w:color="auto"/>
        <w:right w:val="none" w:sz="0" w:space="0" w:color="auto"/>
      </w:divBdr>
    </w:div>
    <w:div w:id="2028098039">
      <w:bodyDiv w:val="1"/>
      <w:marLeft w:val="0"/>
      <w:marRight w:val="0"/>
      <w:marTop w:val="0"/>
      <w:marBottom w:val="0"/>
      <w:divBdr>
        <w:top w:val="none" w:sz="0" w:space="0" w:color="auto"/>
        <w:left w:val="none" w:sz="0" w:space="0" w:color="auto"/>
        <w:bottom w:val="none" w:sz="0" w:space="0" w:color="auto"/>
        <w:right w:val="none" w:sz="0" w:space="0" w:color="auto"/>
      </w:divBdr>
    </w:div>
    <w:div w:id="2051958254">
      <w:bodyDiv w:val="1"/>
      <w:marLeft w:val="0"/>
      <w:marRight w:val="0"/>
      <w:marTop w:val="0"/>
      <w:marBottom w:val="0"/>
      <w:divBdr>
        <w:top w:val="none" w:sz="0" w:space="0" w:color="auto"/>
        <w:left w:val="none" w:sz="0" w:space="0" w:color="auto"/>
        <w:bottom w:val="none" w:sz="0" w:space="0" w:color="auto"/>
        <w:right w:val="none" w:sz="0" w:space="0" w:color="auto"/>
      </w:divBdr>
    </w:div>
    <w:div w:id="2086536424">
      <w:bodyDiv w:val="1"/>
      <w:marLeft w:val="0"/>
      <w:marRight w:val="0"/>
      <w:marTop w:val="0"/>
      <w:marBottom w:val="0"/>
      <w:divBdr>
        <w:top w:val="none" w:sz="0" w:space="0" w:color="auto"/>
        <w:left w:val="none" w:sz="0" w:space="0" w:color="auto"/>
        <w:bottom w:val="none" w:sz="0" w:space="0" w:color="auto"/>
        <w:right w:val="none" w:sz="0" w:space="0" w:color="auto"/>
      </w:divBdr>
    </w:div>
    <w:div w:id="2099011407">
      <w:bodyDiv w:val="1"/>
      <w:marLeft w:val="0"/>
      <w:marRight w:val="0"/>
      <w:marTop w:val="0"/>
      <w:marBottom w:val="0"/>
      <w:divBdr>
        <w:top w:val="none" w:sz="0" w:space="0" w:color="auto"/>
        <w:left w:val="none" w:sz="0" w:space="0" w:color="auto"/>
        <w:bottom w:val="none" w:sz="0" w:space="0" w:color="auto"/>
        <w:right w:val="none" w:sz="0" w:space="0" w:color="auto"/>
      </w:divBdr>
      <w:divsChild>
        <w:div w:id="1931968401">
          <w:marLeft w:val="806"/>
          <w:marRight w:val="0"/>
          <w:marTop w:val="200"/>
          <w:marBottom w:val="0"/>
          <w:divBdr>
            <w:top w:val="none" w:sz="0" w:space="0" w:color="auto"/>
            <w:left w:val="none" w:sz="0" w:space="0" w:color="auto"/>
            <w:bottom w:val="none" w:sz="0" w:space="0" w:color="auto"/>
            <w:right w:val="none" w:sz="0" w:space="0" w:color="auto"/>
          </w:divBdr>
        </w:div>
      </w:divsChild>
    </w:div>
    <w:div w:id="21379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pages/viewpage.action?pageId=4816923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rko\OneDrive\Documents\TASCO\Webiner%20handouts\eCompanion-en-14.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ew.officeapps.live.com/op/view.aspx?src=https%3A%2F%2Fwikis.ec.europa.eu%2Fdownload%2Fattachments%2F44169123%2Fe3a1_guidelines_annexJ_en.doc&amp;wdOrigin=BROWSELINK" TargetMode="External"/><Relationship Id="rId4" Type="http://schemas.openxmlformats.org/officeDocument/2006/relationships/settings" Target="settings.xml"/><Relationship Id="rId9" Type="http://schemas.openxmlformats.org/officeDocument/2006/relationships/hyperlink" Target="https://wikis.ec.europa.eu/pages/viewpage.action?pageId=4816923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D7E6D1-3A23-4BD1-9DA4-67FF9654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1473</Words>
  <Characters>8397</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Polivka;Ira Topalli</dc:creator>
  <cp:lastModifiedBy>Kalina Markovic Ilic</cp:lastModifiedBy>
  <cp:revision>125</cp:revision>
  <cp:lastPrinted>2020-12-16T13:12:00Z</cp:lastPrinted>
  <dcterms:created xsi:type="dcterms:W3CDTF">2022-11-21T21:34:00Z</dcterms:created>
  <dcterms:modified xsi:type="dcterms:W3CDTF">2022-11-28T22:22:00Z</dcterms:modified>
</cp:coreProperties>
</file>